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35" w:type="dxa"/>
        <w:tblInd w:w="108" w:type="dxa"/>
        <w:tblLayout w:type="fixed"/>
        <w:tblLook w:val="0000" w:firstRow="0" w:lastRow="0" w:firstColumn="0" w:lastColumn="0" w:noHBand="0" w:noVBand="0"/>
      </w:tblPr>
      <w:tblGrid>
        <w:gridCol w:w="3360"/>
        <w:gridCol w:w="6175"/>
      </w:tblGrid>
      <w:tr w:rsidR="00937185" w:rsidRPr="00F932CD">
        <w:trPr>
          <w:trHeight w:val="1532"/>
        </w:trPr>
        <w:tc>
          <w:tcPr>
            <w:tcW w:w="3360" w:type="dxa"/>
          </w:tcPr>
          <w:p w:rsidR="00937185" w:rsidRPr="00F932CD" w:rsidRDefault="00937185" w:rsidP="00EE522C">
            <w:pPr>
              <w:pStyle w:val="Heading1"/>
              <w:rPr>
                <w:rFonts w:ascii="Times New Roman" w:hAnsi="Times New Roman"/>
              </w:rPr>
            </w:pPr>
            <w:r w:rsidRPr="00F932CD">
              <w:rPr>
                <w:rFonts w:ascii="Times New Roman" w:hAnsi="Times New Roman"/>
              </w:rPr>
              <w:t>UỶ BAN NHÂN DÂN</w:t>
            </w:r>
          </w:p>
          <w:p w:rsidR="00937185" w:rsidRPr="00F932CD" w:rsidRDefault="00937185" w:rsidP="00EE522C">
            <w:pPr>
              <w:pStyle w:val="Heading1"/>
              <w:rPr>
                <w:rFonts w:ascii="Times New Roman" w:hAnsi="Times New Roman"/>
              </w:rPr>
            </w:pPr>
            <w:r w:rsidRPr="00F932CD">
              <w:rPr>
                <w:rFonts w:ascii="Times New Roman" w:hAnsi="Times New Roman"/>
              </w:rPr>
              <w:t>TỈNH ĐỒNG THÁP</w:t>
            </w:r>
          </w:p>
          <w:p w:rsidR="00937185" w:rsidRPr="00F932CD" w:rsidRDefault="007D1EAF" w:rsidP="00EE522C">
            <w:pPr>
              <w:jc w:val="center"/>
              <w:rPr>
                <w:b/>
                <w:sz w:val="26"/>
              </w:rPr>
            </w:pPr>
            <w:r w:rsidRPr="00F932CD">
              <w:rPr>
                <w:b/>
                <w:noProof/>
                <w:sz w:val="26"/>
                <w:lang w:val="en-GB" w:eastAsia="en-GB"/>
              </w:rPr>
              <mc:AlternateContent>
                <mc:Choice Requires="wps">
                  <w:drawing>
                    <wp:anchor distT="0" distB="0" distL="114300" distR="114300" simplePos="0" relativeHeight="251657728" behindDoc="0" locked="0" layoutInCell="1" allowOverlap="1">
                      <wp:simplePos x="0" y="0"/>
                      <wp:positionH relativeFrom="column">
                        <wp:posOffset>642620</wp:posOffset>
                      </wp:positionH>
                      <wp:positionV relativeFrom="paragraph">
                        <wp:posOffset>99695</wp:posOffset>
                      </wp:positionV>
                      <wp:extent cx="622300" cy="0"/>
                      <wp:effectExtent l="11430" t="5715" r="13970" b="13335"/>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2FE75" id="Line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pt,7.85pt" to="99.6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Pz8EwIAACg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"/>
                  </w:pict>
                </mc:Fallback>
              </mc:AlternateContent>
            </w:r>
          </w:p>
          <w:p w:rsidR="00937185" w:rsidRPr="00F932CD" w:rsidRDefault="00937185" w:rsidP="00EE522C">
            <w:pPr>
              <w:jc w:val="center"/>
              <w:rPr>
                <w:sz w:val="26"/>
              </w:rPr>
            </w:pPr>
            <w:r w:rsidRPr="00F932CD">
              <w:rPr>
                <w:sz w:val="26"/>
              </w:rPr>
              <w:t>Số:       /BC-UBND</w:t>
            </w:r>
          </w:p>
          <w:p w:rsidR="00937185" w:rsidRPr="00F932CD" w:rsidRDefault="00937185" w:rsidP="00EE522C">
            <w:pPr>
              <w:jc w:val="center"/>
              <w:rPr>
                <w:b/>
                <w:sz w:val="26"/>
              </w:rPr>
            </w:pPr>
          </w:p>
        </w:tc>
        <w:tc>
          <w:tcPr>
            <w:tcW w:w="6175" w:type="dxa"/>
          </w:tcPr>
          <w:p w:rsidR="00937185" w:rsidRPr="00F932CD" w:rsidRDefault="00937185" w:rsidP="00EE522C">
            <w:pPr>
              <w:jc w:val="center"/>
              <w:rPr>
                <w:b/>
                <w:sz w:val="26"/>
              </w:rPr>
            </w:pPr>
            <w:r w:rsidRPr="00F932CD">
              <w:rPr>
                <w:b/>
                <w:sz w:val="26"/>
              </w:rPr>
              <w:t xml:space="preserve">CỘNG HÒA XÃ HỘI CHỦ NGHĨA VIỆT </w:t>
            </w:r>
            <w:smartTag w:uri="urn:schemas-microsoft-com:office:smarttags" w:element="country-region">
              <w:smartTag w:uri="urn:schemas-microsoft-com:office:smarttags" w:element="place">
                <w:r w:rsidRPr="00F932CD">
                  <w:rPr>
                    <w:b/>
                    <w:sz w:val="26"/>
                  </w:rPr>
                  <w:t>NAM</w:t>
                </w:r>
              </w:smartTag>
            </w:smartTag>
          </w:p>
          <w:p w:rsidR="00937185" w:rsidRPr="00F932CD" w:rsidRDefault="00937185" w:rsidP="00EE522C">
            <w:pPr>
              <w:pStyle w:val="Heading1"/>
              <w:rPr>
                <w:rFonts w:ascii="Times New Roman" w:hAnsi="Times New Roman"/>
              </w:rPr>
            </w:pPr>
            <w:r w:rsidRPr="00F932CD">
              <w:rPr>
                <w:rFonts w:ascii="Times New Roman" w:hAnsi="Times New Roman"/>
              </w:rPr>
              <w:t>Độc lập – Tự do – Hạnh phúc</w:t>
            </w:r>
          </w:p>
          <w:p w:rsidR="00937185" w:rsidRPr="00F932CD" w:rsidRDefault="007D1EAF" w:rsidP="00EE522C">
            <w:pPr>
              <w:pStyle w:val="Heading2"/>
              <w:rPr>
                <w:rFonts w:ascii="Times New Roman" w:hAnsi="Times New Roman"/>
                <w:b/>
                <w:i w:val="0"/>
              </w:rPr>
            </w:pPr>
            <w:r w:rsidRPr="00F932CD">
              <w:rPr>
                <w:rFonts w:ascii="Times New Roman" w:hAnsi="Times New Roman"/>
                <w:b/>
                <w:i w:val="0"/>
                <w:noProof/>
                <w:lang w:val="en-GB" w:eastAsia="en-GB"/>
              </w:rPr>
              <mc:AlternateContent>
                <mc:Choice Requires="wps">
                  <w:drawing>
                    <wp:anchor distT="0" distB="0" distL="114300" distR="114300" simplePos="0" relativeHeight="251658752" behindDoc="0" locked="0" layoutInCell="1" allowOverlap="1">
                      <wp:simplePos x="0" y="0"/>
                      <wp:positionH relativeFrom="column">
                        <wp:posOffset>820420</wp:posOffset>
                      </wp:positionH>
                      <wp:positionV relativeFrom="paragraph">
                        <wp:posOffset>104140</wp:posOffset>
                      </wp:positionV>
                      <wp:extent cx="2044700" cy="0"/>
                      <wp:effectExtent l="8255" t="10160" r="13970" b="889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BCFE08" id="Line 1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6pt,8.2pt" to="225.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6p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"/>
                  </w:pict>
                </mc:Fallback>
              </mc:AlternateContent>
            </w:r>
          </w:p>
          <w:p w:rsidR="00937185" w:rsidRPr="00F932CD" w:rsidRDefault="00937185" w:rsidP="00EE522C">
            <w:pPr>
              <w:pStyle w:val="Heading2"/>
              <w:rPr>
                <w:rFonts w:ascii="Times New Roman" w:hAnsi="Times New Roman"/>
              </w:rPr>
            </w:pPr>
            <w:r w:rsidRPr="00F932CD">
              <w:rPr>
                <w:rFonts w:ascii="Times New Roman" w:hAnsi="Times New Roman"/>
              </w:rPr>
              <w:t xml:space="preserve">Đồng Tháp, ngày     tháng </w:t>
            </w:r>
            <w:r w:rsidR="00E86012">
              <w:rPr>
                <w:rFonts w:ascii="Times New Roman" w:hAnsi="Times New Roman"/>
              </w:rPr>
              <w:t xml:space="preserve">  </w:t>
            </w:r>
            <w:r w:rsidR="005A6622" w:rsidRPr="00F932CD">
              <w:rPr>
                <w:rFonts w:ascii="Times New Roman" w:hAnsi="Times New Roman"/>
              </w:rPr>
              <w:t xml:space="preserve"> </w:t>
            </w:r>
            <w:r w:rsidRPr="00F932CD">
              <w:rPr>
                <w:rFonts w:ascii="Times New Roman" w:hAnsi="Times New Roman"/>
              </w:rPr>
              <w:t xml:space="preserve">năm </w:t>
            </w:r>
            <w:r w:rsidR="00A86948" w:rsidRPr="00F932CD">
              <w:rPr>
                <w:rFonts w:ascii="Times New Roman" w:hAnsi="Times New Roman"/>
              </w:rPr>
              <w:t>2019</w:t>
            </w:r>
          </w:p>
          <w:p w:rsidR="00937185" w:rsidRPr="00F932CD" w:rsidRDefault="00937185" w:rsidP="00EE522C">
            <w:pPr>
              <w:rPr>
                <w:b/>
                <w:sz w:val="26"/>
              </w:rPr>
            </w:pPr>
          </w:p>
        </w:tc>
      </w:tr>
    </w:tbl>
    <w:p w:rsidR="0080218D" w:rsidRPr="00F932CD" w:rsidRDefault="00FB299E" w:rsidP="00937185">
      <w:pPr>
        <w:jc w:val="center"/>
        <w:rPr>
          <w:b/>
          <w:bCs/>
          <w:szCs w:val="28"/>
        </w:rPr>
      </w:pPr>
      <w:r w:rsidRPr="00F932CD">
        <w:rPr>
          <w:b/>
          <w:bCs/>
          <w:noProof/>
          <w:szCs w:val="28"/>
          <w:lang w:val="en-GB" w:eastAsia="en-GB"/>
        </w:rPr>
        <mc:AlternateContent>
          <mc:Choice Requires="wps">
            <w:drawing>
              <wp:anchor distT="0" distB="0" distL="114300" distR="114300" simplePos="0" relativeHeight="251656704" behindDoc="0" locked="0" layoutInCell="1" allowOverlap="1" wp14:anchorId="1AADC88B" wp14:editId="17F33F8F">
                <wp:simplePos x="0" y="0"/>
                <wp:positionH relativeFrom="leftMargin">
                  <wp:align>right</wp:align>
                </wp:positionH>
                <wp:positionV relativeFrom="paragraph">
                  <wp:posOffset>225697</wp:posOffset>
                </wp:positionV>
                <wp:extent cx="800100" cy="483870"/>
                <wp:effectExtent l="0" t="0" r="19050" b="1143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83870"/>
                        </a:xfrm>
                        <a:prstGeom prst="rect">
                          <a:avLst/>
                        </a:prstGeom>
                        <a:solidFill>
                          <a:srgbClr val="FFFFFF"/>
                        </a:solidFill>
                        <a:ln w="9525">
                          <a:solidFill>
                            <a:srgbClr val="000000"/>
                          </a:solidFill>
                          <a:miter lim="800000"/>
                          <a:headEnd/>
                          <a:tailEnd/>
                        </a:ln>
                      </wps:spPr>
                      <wps:txbx>
                        <w:txbxContent>
                          <w:p w:rsidR="00937185" w:rsidRPr="00866965" w:rsidRDefault="00937185" w:rsidP="00937185">
                            <w:pPr>
                              <w:jc w:val="center"/>
                              <w:rPr>
                                <w:b/>
                                <w:sz w:val="24"/>
                              </w:rPr>
                            </w:pPr>
                            <w:r w:rsidRPr="00866965">
                              <w:rPr>
                                <w:b/>
                                <w:sz w:val="24"/>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DC88B" id="Rectangle 10" o:spid="_x0000_s1026" style="position:absolute;left:0;text-align:left;margin-left:11.8pt;margin-top:17.75pt;width:63pt;height:38.1pt;z-index:25165670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">
                <v:textbox>
                  <w:txbxContent>
                    <w:p w:rsidR="00937185" w:rsidRPr="00866965" w:rsidRDefault="00937185" w:rsidP="00937185">
                      <w:pPr>
                        <w:jc w:val="center"/>
                        <w:rPr>
                          <w:b/>
                          <w:sz w:val="24"/>
                        </w:rPr>
                      </w:pPr>
                      <w:r w:rsidRPr="00866965">
                        <w:rPr>
                          <w:b/>
                          <w:sz w:val="24"/>
                        </w:rPr>
                        <w:t>DỰ THẢO</w:t>
                      </w:r>
                    </w:p>
                  </w:txbxContent>
                </v:textbox>
                <w10:wrap anchorx="margin"/>
              </v:rect>
            </w:pict>
          </mc:Fallback>
        </mc:AlternateContent>
      </w:r>
      <w:r w:rsidR="0080218D" w:rsidRPr="00F932CD">
        <w:rPr>
          <w:b/>
          <w:bCs/>
          <w:szCs w:val="28"/>
        </w:rPr>
        <w:t>BÁO CÁO</w:t>
      </w:r>
    </w:p>
    <w:p w:rsidR="00937185" w:rsidRPr="00F932CD" w:rsidRDefault="00937185" w:rsidP="00937185">
      <w:pPr>
        <w:jc w:val="center"/>
        <w:rPr>
          <w:b/>
          <w:bCs/>
          <w:szCs w:val="28"/>
        </w:rPr>
      </w:pPr>
      <w:r w:rsidRPr="00F932CD">
        <w:rPr>
          <w:b/>
          <w:bCs/>
          <w:szCs w:val="28"/>
        </w:rPr>
        <w:t xml:space="preserve">ĐÁNH GIÁ TÌNH HÌNH ƯỚC THỰC HIỆN NSNN NĂM </w:t>
      </w:r>
      <w:r w:rsidR="00A86948" w:rsidRPr="00F932CD">
        <w:rPr>
          <w:b/>
          <w:bCs/>
          <w:szCs w:val="28"/>
        </w:rPr>
        <w:t>2019</w:t>
      </w:r>
      <w:r w:rsidRPr="00F932CD">
        <w:rPr>
          <w:b/>
          <w:bCs/>
          <w:szCs w:val="28"/>
        </w:rPr>
        <w:t>;</w:t>
      </w:r>
    </w:p>
    <w:p w:rsidR="00937185" w:rsidRDefault="00937185" w:rsidP="00937185">
      <w:pPr>
        <w:pStyle w:val="Heading3"/>
        <w:rPr>
          <w:szCs w:val="28"/>
        </w:rPr>
      </w:pPr>
      <w:r w:rsidRPr="00F932CD">
        <w:rPr>
          <w:szCs w:val="28"/>
        </w:rPr>
        <w:t xml:space="preserve">DỰ TOÁN NGÂN SÁCH NHÀ NƯỚC NĂM </w:t>
      </w:r>
      <w:r w:rsidR="00A86948" w:rsidRPr="00F932CD">
        <w:rPr>
          <w:szCs w:val="28"/>
        </w:rPr>
        <w:t>2020</w:t>
      </w:r>
      <w:r w:rsidRPr="00F932CD">
        <w:rPr>
          <w:szCs w:val="28"/>
        </w:rPr>
        <w:t xml:space="preserve"> </w:t>
      </w:r>
    </w:p>
    <w:p w:rsidR="00FB299E" w:rsidRPr="00FB299E" w:rsidRDefault="00FB299E" w:rsidP="00FB299E">
      <w:pPr>
        <w:jc w:val="center"/>
        <w:rPr>
          <w:b/>
        </w:rPr>
      </w:pPr>
      <w:r w:rsidRPr="00FB299E">
        <w:rPr>
          <w:b/>
          <w:szCs w:val="28"/>
        </w:rPr>
        <w:t>VÀ KẾ HOẠCH TÀI CHÍNH - NSNN 03 NĂM 20</w:t>
      </w:r>
      <w:r>
        <w:rPr>
          <w:b/>
          <w:szCs w:val="28"/>
        </w:rPr>
        <w:t>20</w:t>
      </w:r>
      <w:r w:rsidRPr="00FB299E">
        <w:rPr>
          <w:b/>
          <w:szCs w:val="28"/>
        </w:rPr>
        <w:t>-202</w:t>
      </w:r>
      <w:r>
        <w:rPr>
          <w:b/>
          <w:szCs w:val="28"/>
        </w:rPr>
        <w:t>2</w:t>
      </w:r>
    </w:p>
    <w:p w:rsidR="00937185" w:rsidRPr="00F932CD" w:rsidRDefault="00937185" w:rsidP="00937185"/>
    <w:p w:rsidR="00937185" w:rsidRPr="00F932CD" w:rsidRDefault="00937185" w:rsidP="00937185">
      <w:pPr>
        <w:ind w:firstLine="720"/>
        <w:jc w:val="both"/>
        <w:rPr>
          <w:szCs w:val="28"/>
        </w:rPr>
      </w:pPr>
      <w:r w:rsidRPr="00F932CD">
        <w:rPr>
          <w:szCs w:val="28"/>
        </w:rPr>
        <w:t xml:space="preserve">Căn cứ Nghị quyết số </w:t>
      </w:r>
      <w:r w:rsidR="004A1D49" w:rsidRPr="00F932CD">
        <w:rPr>
          <w:szCs w:val="28"/>
        </w:rPr>
        <w:t>195</w:t>
      </w:r>
      <w:r w:rsidRPr="00F932CD">
        <w:rPr>
          <w:szCs w:val="28"/>
        </w:rPr>
        <w:t xml:space="preserve">/NQ-HĐND ngày </w:t>
      </w:r>
      <w:r w:rsidR="003B344B" w:rsidRPr="00F932CD">
        <w:rPr>
          <w:szCs w:val="28"/>
        </w:rPr>
        <w:t>0</w:t>
      </w:r>
      <w:r w:rsidR="004A1D49" w:rsidRPr="00F932CD">
        <w:rPr>
          <w:szCs w:val="28"/>
        </w:rPr>
        <w:t>6</w:t>
      </w:r>
      <w:r w:rsidRPr="00F932CD">
        <w:rPr>
          <w:szCs w:val="28"/>
        </w:rPr>
        <w:t xml:space="preserve"> tháng 12 năm </w:t>
      </w:r>
      <w:r w:rsidR="00EA3141" w:rsidRPr="00F932CD">
        <w:rPr>
          <w:szCs w:val="28"/>
        </w:rPr>
        <w:t>201</w:t>
      </w:r>
      <w:r w:rsidR="004A1D49" w:rsidRPr="00F932CD">
        <w:rPr>
          <w:szCs w:val="28"/>
        </w:rPr>
        <w:t>9</w:t>
      </w:r>
      <w:r w:rsidRPr="00F932CD">
        <w:rPr>
          <w:szCs w:val="28"/>
        </w:rPr>
        <w:t xml:space="preserve"> c</w:t>
      </w:r>
      <w:r w:rsidR="004A1D49" w:rsidRPr="00F932CD">
        <w:rPr>
          <w:szCs w:val="28"/>
        </w:rPr>
        <w:t>ủa Hội đồng nhân dân Tỉnh khóa IX</w:t>
      </w:r>
      <w:r w:rsidRPr="00F932CD">
        <w:rPr>
          <w:szCs w:val="28"/>
        </w:rPr>
        <w:t xml:space="preserve">, kỳ họp thứ </w:t>
      </w:r>
      <w:r w:rsidR="004A1D49" w:rsidRPr="00F932CD">
        <w:rPr>
          <w:szCs w:val="28"/>
        </w:rPr>
        <w:t>8</w:t>
      </w:r>
      <w:r w:rsidRPr="00F932CD">
        <w:rPr>
          <w:szCs w:val="28"/>
        </w:rPr>
        <w:t xml:space="preserve"> về việc phê chuẩn dự toán ngân sách nhà nước năm </w:t>
      </w:r>
      <w:r w:rsidR="00A86948" w:rsidRPr="00F932CD">
        <w:rPr>
          <w:szCs w:val="28"/>
        </w:rPr>
        <w:t>2019</w:t>
      </w:r>
      <w:r w:rsidRPr="00F932CD">
        <w:rPr>
          <w:szCs w:val="28"/>
        </w:rPr>
        <w:t xml:space="preserve">, phân bổ ngân sách cấp Tỉnh năm </w:t>
      </w:r>
      <w:r w:rsidR="00A86948" w:rsidRPr="00F932CD">
        <w:rPr>
          <w:szCs w:val="28"/>
        </w:rPr>
        <w:t>2019</w:t>
      </w:r>
      <w:r w:rsidR="008B3E33" w:rsidRPr="00F932CD">
        <w:rPr>
          <w:szCs w:val="28"/>
        </w:rPr>
        <w:t xml:space="preserve"> của tỉnh Đ</w:t>
      </w:r>
      <w:r w:rsidR="000E426C">
        <w:rPr>
          <w:szCs w:val="28"/>
        </w:rPr>
        <w:t>ồ</w:t>
      </w:r>
      <w:r w:rsidR="008B3E33" w:rsidRPr="00F932CD">
        <w:rPr>
          <w:szCs w:val="28"/>
        </w:rPr>
        <w:t>ng Tháp</w:t>
      </w:r>
      <w:r w:rsidRPr="00F932CD">
        <w:rPr>
          <w:szCs w:val="28"/>
        </w:rPr>
        <w:t xml:space="preserve">; Căn cứ Nghị quyết số </w:t>
      </w:r>
      <w:r w:rsidR="004A1D49" w:rsidRPr="00F932CD">
        <w:rPr>
          <w:szCs w:val="28"/>
        </w:rPr>
        <w:t>206</w:t>
      </w:r>
      <w:r w:rsidRPr="00F932CD">
        <w:rPr>
          <w:szCs w:val="28"/>
        </w:rPr>
        <w:t xml:space="preserve">/NQ-HĐND ngày </w:t>
      </w:r>
      <w:r w:rsidR="003B344B" w:rsidRPr="00F932CD">
        <w:rPr>
          <w:szCs w:val="28"/>
        </w:rPr>
        <w:t>0</w:t>
      </w:r>
      <w:r w:rsidR="004A1D49" w:rsidRPr="00F932CD">
        <w:rPr>
          <w:szCs w:val="28"/>
        </w:rPr>
        <w:t>6</w:t>
      </w:r>
      <w:r w:rsidRPr="00F932CD">
        <w:rPr>
          <w:szCs w:val="28"/>
        </w:rPr>
        <w:t xml:space="preserve"> tháng 1</w:t>
      </w:r>
      <w:r w:rsidR="003B344B" w:rsidRPr="00F932CD">
        <w:rPr>
          <w:szCs w:val="28"/>
        </w:rPr>
        <w:t>2</w:t>
      </w:r>
      <w:r w:rsidRPr="00F932CD">
        <w:rPr>
          <w:szCs w:val="28"/>
        </w:rPr>
        <w:t xml:space="preserve"> năm </w:t>
      </w:r>
      <w:r w:rsidR="00EA3141" w:rsidRPr="00F932CD">
        <w:rPr>
          <w:szCs w:val="28"/>
        </w:rPr>
        <w:t>2018</w:t>
      </w:r>
      <w:r w:rsidRPr="00F932CD">
        <w:rPr>
          <w:szCs w:val="28"/>
        </w:rPr>
        <w:t xml:space="preserve"> của Hội đồng nhân dân Tỉnh khóa </w:t>
      </w:r>
      <w:r w:rsidR="004A1D49" w:rsidRPr="00F932CD">
        <w:rPr>
          <w:szCs w:val="28"/>
        </w:rPr>
        <w:t>IX</w:t>
      </w:r>
      <w:r w:rsidRPr="00F932CD">
        <w:rPr>
          <w:szCs w:val="28"/>
        </w:rPr>
        <w:t xml:space="preserve">, kỳ họp thứ </w:t>
      </w:r>
      <w:r w:rsidR="004A1D49" w:rsidRPr="00F932CD">
        <w:rPr>
          <w:szCs w:val="28"/>
        </w:rPr>
        <w:t>8</w:t>
      </w:r>
      <w:r w:rsidRPr="00F932CD">
        <w:rPr>
          <w:szCs w:val="28"/>
        </w:rPr>
        <w:t xml:space="preserve"> về việc thông qua</w:t>
      </w:r>
      <w:r w:rsidR="004A1D49" w:rsidRPr="00F932CD">
        <w:rPr>
          <w:szCs w:val="28"/>
        </w:rPr>
        <w:t xml:space="preserve"> </w:t>
      </w:r>
      <w:r w:rsidR="00A139A0" w:rsidRPr="00F932CD">
        <w:rPr>
          <w:szCs w:val="28"/>
        </w:rPr>
        <w:t xml:space="preserve">phương án phân bổ kế hoạch vốn đầu tư phát triển năm </w:t>
      </w:r>
      <w:r w:rsidR="00A86948" w:rsidRPr="00F932CD">
        <w:rPr>
          <w:szCs w:val="28"/>
        </w:rPr>
        <w:t>2019</w:t>
      </w:r>
      <w:r w:rsidRPr="00F932CD">
        <w:rPr>
          <w:szCs w:val="28"/>
        </w:rPr>
        <w:t xml:space="preserve"> bằng nguồn vốn ngân sách nhà nước do Tỉnh quản lý và phân bổ;</w:t>
      </w:r>
    </w:p>
    <w:p w:rsidR="00937185" w:rsidRPr="00F932CD" w:rsidRDefault="00937185" w:rsidP="00937185">
      <w:pPr>
        <w:ind w:firstLine="567"/>
        <w:jc w:val="both"/>
        <w:rPr>
          <w:szCs w:val="28"/>
        </w:rPr>
      </w:pPr>
      <w:r w:rsidRPr="00F932CD">
        <w:rPr>
          <w:szCs w:val="28"/>
        </w:rPr>
        <w:t xml:space="preserve">Uỷ ban nhân dân Tỉnh đánh giá tình hình ước thực hiện ngân sách nhà nước năm </w:t>
      </w:r>
      <w:r w:rsidR="00A86948" w:rsidRPr="00F932CD">
        <w:rPr>
          <w:szCs w:val="28"/>
        </w:rPr>
        <w:t>2019</w:t>
      </w:r>
      <w:r w:rsidR="000D4741">
        <w:rPr>
          <w:szCs w:val="28"/>
        </w:rPr>
        <w:t>;</w:t>
      </w:r>
      <w:r w:rsidRPr="00F932CD">
        <w:rPr>
          <w:szCs w:val="28"/>
        </w:rPr>
        <w:t xml:space="preserve"> </w:t>
      </w:r>
      <w:r w:rsidR="000D4741">
        <w:rPr>
          <w:szCs w:val="28"/>
          <w:lang w:val="nl-NL"/>
        </w:rPr>
        <w:t>D</w:t>
      </w:r>
      <w:r w:rsidR="000D4741" w:rsidRPr="00713431">
        <w:rPr>
          <w:szCs w:val="28"/>
          <w:lang w:val="nl-NL"/>
        </w:rPr>
        <w:t>ự toán ngân sách nhà nước năm 2020 và Kế hoach tài chính - ngân sách nhà nước 03 năm 2020-2022</w:t>
      </w:r>
      <w:r w:rsidRPr="00F932CD">
        <w:rPr>
          <w:szCs w:val="28"/>
        </w:rPr>
        <w:t xml:space="preserve"> như sau: </w:t>
      </w:r>
    </w:p>
    <w:p w:rsidR="000D4741" w:rsidRPr="00F932CD" w:rsidRDefault="000D4741" w:rsidP="000D4741">
      <w:pPr>
        <w:pStyle w:val="BodyText"/>
        <w:spacing w:before="0"/>
        <w:ind w:firstLine="567"/>
        <w:rPr>
          <w:b/>
          <w:szCs w:val="28"/>
        </w:rPr>
      </w:pPr>
      <w:r w:rsidRPr="00F932CD">
        <w:rPr>
          <w:b/>
          <w:szCs w:val="28"/>
        </w:rPr>
        <w:t>A. Tình hình ước thực hiện thu chi ngân sách nhà nước năm 2019</w:t>
      </w:r>
    </w:p>
    <w:p w:rsidR="00B42DC8" w:rsidRPr="00F932CD" w:rsidRDefault="00B42DC8" w:rsidP="00B42DC8">
      <w:pPr>
        <w:ind w:firstLine="567"/>
        <w:jc w:val="both"/>
        <w:rPr>
          <w:b/>
          <w:szCs w:val="28"/>
        </w:rPr>
      </w:pPr>
      <w:smartTag w:uri="urn:schemas-microsoft-com:office:smarttags" w:element="place">
        <w:r w:rsidRPr="00F932CD">
          <w:rPr>
            <w:b/>
            <w:szCs w:val="28"/>
          </w:rPr>
          <w:t>I.</w:t>
        </w:r>
      </w:smartTag>
      <w:r w:rsidRPr="00F932CD">
        <w:rPr>
          <w:b/>
          <w:szCs w:val="28"/>
        </w:rPr>
        <w:t xml:space="preserve"> Ước thu ngân sách nhà nước:</w:t>
      </w:r>
    </w:p>
    <w:p w:rsidR="00B42DC8" w:rsidRPr="00F932CD" w:rsidRDefault="00B42DC8" w:rsidP="00B42DC8">
      <w:pPr>
        <w:ind w:firstLine="567"/>
        <w:jc w:val="both"/>
        <w:rPr>
          <w:szCs w:val="28"/>
        </w:rPr>
      </w:pPr>
      <w:r w:rsidRPr="00F932CD">
        <w:rPr>
          <w:b/>
          <w:szCs w:val="28"/>
        </w:rPr>
        <w:t xml:space="preserve">1.Tổng thu ngân sách nhà nước trên địa bàn: </w:t>
      </w:r>
      <w:r w:rsidRPr="00F932CD">
        <w:rPr>
          <w:szCs w:val="28"/>
        </w:rPr>
        <w:t>8.</w:t>
      </w:r>
      <w:r>
        <w:rPr>
          <w:szCs w:val="28"/>
        </w:rPr>
        <w:t>103</w:t>
      </w:r>
      <w:r w:rsidRPr="00F932CD">
        <w:rPr>
          <w:szCs w:val="28"/>
        </w:rPr>
        <w:t xml:space="preserve"> tỷ đồng</w:t>
      </w:r>
      <w:r>
        <w:rPr>
          <w:szCs w:val="28"/>
        </w:rPr>
        <w:t xml:space="preserve"> (lấy tròn)</w:t>
      </w:r>
      <w:r w:rsidRPr="00F932CD">
        <w:rPr>
          <w:szCs w:val="28"/>
        </w:rPr>
        <w:t>, đạt 11</w:t>
      </w:r>
      <w:r>
        <w:rPr>
          <w:szCs w:val="28"/>
        </w:rPr>
        <w:t>4</w:t>
      </w:r>
      <w:r w:rsidRPr="00F932CD">
        <w:rPr>
          <w:szCs w:val="28"/>
        </w:rPr>
        <w:t>% dự toán giao, gồm:</w:t>
      </w:r>
    </w:p>
    <w:p w:rsidR="00B42DC8" w:rsidRPr="00F932CD" w:rsidRDefault="00B42DC8" w:rsidP="00B42DC8">
      <w:pPr>
        <w:widowControl w:val="0"/>
        <w:ind w:firstLine="567"/>
        <w:jc w:val="both"/>
        <w:rPr>
          <w:color w:val="FF0000"/>
          <w:szCs w:val="28"/>
        </w:rPr>
      </w:pPr>
      <w:r w:rsidRPr="00F932CD">
        <w:rPr>
          <w:b/>
          <w:szCs w:val="28"/>
        </w:rPr>
        <w:t>a.</w:t>
      </w:r>
      <w:r w:rsidRPr="00F932CD">
        <w:rPr>
          <w:szCs w:val="28"/>
        </w:rPr>
        <w:t xml:space="preserve"> </w:t>
      </w:r>
      <w:r w:rsidRPr="00F932CD">
        <w:rPr>
          <w:b/>
          <w:szCs w:val="28"/>
        </w:rPr>
        <w:t>Thu nội địa:</w:t>
      </w:r>
      <w:r>
        <w:rPr>
          <w:szCs w:val="28"/>
        </w:rPr>
        <w:t xml:space="preserve"> 8</w:t>
      </w:r>
      <w:r w:rsidRPr="00F932CD">
        <w:rPr>
          <w:szCs w:val="28"/>
        </w:rPr>
        <w:t>.</w:t>
      </w:r>
      <w:r>
        <w:rPr>
          <w:szCs w:val="28"/>
        </w:rPr>
        <w:t>025</w:t>
      </w:r>
      <w:r w:rsidRPr="00F932CD">
        <w:rPr>
          <w:szCs w:val="28"/>
        </w:rPr>
        <w:t xml:space="preserve"> tỷ đồng, đạt 11</w:t>
      </w:r>
      <w:r>
        <w:rPr>
          <w:szCs w:val="28"/>
        </w:rPr>
        <w:t>5</w:t>
      </w:r>
      <w:r w:rsidRPr="00F932CD">
        <w:rPr>
          <w:szCs w:val="28"/>
        </w:rPr>
        <w:t xml:space="preserve">% dự toán năm, số thu nội địa không kể thu tiền sử dụng đất, thu xổ số kiến thiết, đạt 115% dự toán, so với cùng kỳ tăng </w:t>
      </w:r>
      <w:r>
        <w:rPr>
          <w:szCs w:val="28"/>
        </w:rPr>
        <w:t>27</w:t>
      </w:r>
      <w:r w:rsidRPr="00F932CD">
        <w:rPr>
          <w:szCs w:val="28"/>
        </w:rPr>
        <w:t>% (số thu 6 tháng đạt 63%; số thu 7 tháng đạt 74%; số thu 8 tháng đạt 82%</w:t>
      </w:r>
      <w:r>
        <w:rPr>
          <w:szCs w:val="28"/>
        </w:rPr>
        <w:t xml:space="preserve">, </w:t>
      </w:r>
      <w:r w:rsidRPr="00F932CD">
        <w:rPr>
          <w:szCs w:val="28"/>
        </w:rPr>
        <w:t xml:space="preserve">số thu </w:t>
      </w:r>
      <w:r>
        <w:rPr>
          <w:szCs w:val="28"/>
        </w:rPr>
        <w:t>9</w:t>
      </w:r>
      <w:r w:rsidRPr="00F932CD">
        <w:rPr>
          <w:szCs w:val="28"/>
        </w:rPr>
        <w:t xml:space="preserve"> tháng đạt </w:t>
      </w:r>
      <w:r>
        <w:rPr>
          <w:szCs w:val="28"/>
        </w:rPr>
        <w:t>90</w:t>
      </w:r>
      <w:r w:rsidRPr="00F932CD">
        <w:rPr>
          <w:szCs w:val="28"/>
        </w:rPr>
        <w:t>%</w:t>
      </w:r>
      <w:r w:rsidRPr="00E81ABC">
        <w:rPr>
          <w:szCs w:val="28"/>
        </w:rPr>
        <w:t xml:space="preserve">), nguyên nhân </w:t>
      </w:r>
      <w:r>
        <w:rPr>
          <w:szCs w:val="28"/>
        </w:rPr>
        <w:t xml:space="preserve">tăng </w:t>
      </w:r>
      <w:r w:rsidRPr="00E81ABC">
        <w:rPr>
          <w:szCs w:val="28"/>
        </w:rPr>
        <w:t>chủ yếu: do thực hiện theo</w:t>
      </w:r>
      <w:r w:rsidRPr="00F932CD">
        <w:rPr>
          <w:color w:val="FF0000"/>
          <w:szCs w:val="28"/>
        </w:rPr>
        <w:t xml:space="preserve"> </w:t>
      </w:r>
      <w:r w:rsidRPr="00F932CD">
        <w:rPr>
          <w:szCs w:val="28"/>
        </w:rPr>
        <w:t>Nghị quyết số 579/2018/ UBTVQH14 ngày 26/9/2018 về Biểu thuế bảo vệ môi trường có hiệu lực kể từ ngày 01/01/2019 nên thuế bảo vệ môi trường nộp tăng thêm kể từ tháng 2/2019; nộp cổ tức, lợi nhuận được chia của các Công ty cổ phần của tỉnh và thuế thu nhập doanh nghiệp từ khu vực kinh tế ngoài quốc doanh</w:t>
      </w:r>
      <w:r>
        <w:rPr>
          <w:szCs w:val="28"/>
        </w:rPr>
        <w:t xml:space="preserve"> (chủ yếu thuế thu nhập doanh nghiệp từ các doanh nghiệp liên quan chế biến cá tra)</w:t>
      </w:r>
      <w:r w:rsidRPr="00F932CD">
        <w:rPr>
          <w:color w:val="FF0000"/>
          <w:szCs w:val="28"/>
        </w:rPr>
        <w:t xml:space="preserve">. </w:t>
      </w:r>
    </w:p>
    <w:p w:rsidR="00B42DC8" w:rsidRPr="00F932CD" w:rsidRDefault="00B42DC8" w:rsidP="00B42DC8">
      <w:pPr>
        <w:pStyle w:val="BodyTextIndent"/>
        <w:spacing w:before="60"/>
        <w:ind w:firstLine="567"/>
        <w:rPr>
          <w:b/>
          <w:szCs w:val="28"/>
        </w:rPr>
      </w:pPr>
      <w:r w:rsidRPr="00F932CD">
        <w:rPr>
          <w:b/>
          <w:szCs w:val="28"/>
        </w:rPr>
        <w:t>Tình hình một số khoản thu nội địa chủ yếu sau:</w:t>
      </w:r>
    </w:p>
    <w:p w:rsidR="00B42DC8" w:rsidRPr="00F932CD" w:rsidRDefault="00B42DC8" w:rsidP="00B42DC8">
      <w:pPr>
        <w:widowControl w:val="0"/>
        <w:spacing w:before="60"/>
        <w:ind w:firstLine="567"/>
        <w:jc w:val="both"/>
        <w:rPr>
          <w:snapToGrid w:val="0"/>
          <w:szCs w:val="28"/>
        </w:rPr>
      </w:pPr>
      <w:r w:rsidRPr="00F932CD">
        <w:rPr>
          <w:b/>
          <w:snapToGrid w:val="0"/>
          <w:szCs w:val="28"/>
        </w:rPr>
        <w:t>- Thu từ DNNN</w:t>
      </w:r>
      <w:r>
        <w:rPr>
          <w:b/>
          <w:snapToGrid w:val="0"/>
          <w:szCs w:val="28"/>
        </w:rPr>
        <w:t xml:space="preserve"> Trung ương</w:t>
      </w:r>
      <w:r w:rsidRPr="00F932CD">
        <w:rPr>
          <w:b/>
          <w:snapToGrid w:val="0"/>
          <w:szCs w:val="28"/>
        </w:rPr>
        <w:t xml:space="preserve"> quản lý:</w:t>
      </w:r>
      <w:r w:rsidRPr="00F932CD">
        <w:rPr>
          <w:snapToGrid w:val="0"/>
          <w:szCs w:val="28"/>
        </w:rPr>
        <w:t xml:space="preserve"> 215 tỷ đồng, đạt 110% dự toán, so với cùng kỳ tăng 6%.</w:t>
      </w:r>
    </w:p>
    <w:p w:rsidR="00B42DC8" w:rsidRPr="00F932CD" w:rsidRDefault="00B42DC8" w:rsidP="00B42DC8">
      <w:pPr>
        <w:pStyle w:val="BodyTextIndent3"/>
        <w:spacing w:before="60"/>
        <w:ind w:firstLine="567"/>
        <w:rPr>
          <w:color w:val="auto"/>
          <w:szCs w:val="28"/>
        </w:rPr>
      </w:pPr>
      <w:r w:rsidRPr="00F932CD">
        <w:rPr>
          <w:b/>
          <w:color w:val="auto"/>
          <w:szCs w:val="28"/>
        </w:rPr>
        <w:t>- Thu từ DNNN địa phương quản lý:</w:t>
      </w:r>
      <w:r w:rsidRPr="00F932CD">
        <w:rPr>
          <w:color w:val="auto"/>
          <w:szCs w:val="28"/>
        </w:rPr>
        <w:t xml:space="preserve"> 4</w:t>
      </w:r>
      <w:r>
        <w:rPr>
          <w:color w:val="auto"/>
          <w:szCs w:val="28"/>
        </w:rPr>
        <w:t>77</w:t>
      </w:r>
      <w:r w:rsidRPr="00F932CD">
        <w:rPr>
          <w:color w:val="auto"/>
          <w:szCs w:val="28"/>
        </w:rPr>
        <w:t xml:space="preserve"> tỷ đồng, đạt 10</w:t>
      </w:r>
      <w:r>
        <w:rPr>
          <w:color w:val="auto"/>
          <w:szCs w:val="28"/>
        </w:rPr>
        <w:t>8</w:t>
      </w:r>
      <w:r w:rsidRPr="00F932CD">
        <w:rPr>
          <w:color w:val="auto"/>
          <w:szCs w:val="28"/>
        </w:rPr>
        <w:t>% dự toán, so với cùng kỳ tăng 2</w:t>
      </w:r>
      <w:r>
        <w:rPr>
          <w:color w:val="auto"/>
          <w:szCs w:val="28"/>
        </w:rPr>
        <w:t>4</w:t>
      </w:r>
      <w:r w:rsidRPr="00F932CD">
        <w:rPr>
          <w:color w:val="auto"/>
          <w:szCs w:val="28"/>
        </w:rPr>
        <w:t>%.</w:t>
      </w:r>
    </w:p>
    <w:p w:rsidR="00B42DC8" w:rsidRPr="000B086A" w:rsidRDefault="00B42DC8" w:rsidP="00B42DC8">
      <w:pPr>
        <w:pStyle w:val="BodyTextIndent3"/>
        <w:spacing w:before="60"/>
        <w:ind w:firstLine="567"/>
        <w:rPr>
          <w:color w:val="auto"/>
          <w:lang w:val="sv-SE"/>
        </w:rPr>
      </w:pPr>
      <w:r w:rsidRPr="00F932CD">
        <w:rPr>
          <w:b/>
          <w:color w:val="auto"/>
        </w:rPr>
        <w:t>- Thu từ khu vực kinh tế ngoài quốc doanh:</w:t>
      </w:r>
      <w:r w:rsidRPr="00F932CD">
        <w:rPr>
          <w:color w:val="auto"/>
        </w:rPr>
        <w:t xml:space="preserve"> 1.3</w:t>
      </w:r>
      <w:r>
        <w:rPr>
          <w:color w:val="auto"/>
        </w:rPr>
        <w:t>42</w:t>
      </w:r>
      <w:r w:rsidRPr="00F932CD">
        <w:rPr>
          <w:color w:val="auto"/>
        </w:rPr>
        <w:t xml:space="preserve"> tỷ đồng, đạt 14</w:t>
      </w:r>
      <w:r>
        <w:rPr>
          <w:color w:val="auto"/>
        </w:rPr>
        <w:t>0</w:t>
      </w:r>
      <w:r w:rsidRPr="00F932CD">
        <w:rPr>
          <w:color w:val="auto"/>
        </w:rPr>
        <w:t>% so với dự toán, so với cùng kỳ tăng 4</w:t>
      </w:r>
      <w:r>
        <w:rPr>
          <w:color w:val="auto"/>
        </w:rPr>
        <w:t>2</w:t>
      </w:r>
      <w:r w:rsidRPr="00F932CD">
        <w:rPr>
          <w:color w:val="auto"/>
        </w:rPr>
        <w:t>%.</w:t>
      </w:r>
      <w:r w:rsidRPr="00F932CD">
        <w:t xml:space="preserve"> </w:t>
      </w:r>
      <w:r w:rsidRPr="00F932CD">
        <w:rPr>
          <w:color w:val="auto"/>
        </w:rPr>
        <w:t>(số thu 6 tháng đạt 88%; số thu 7 tháng đạt 101%; số thu 8 tháng đạt 107%</w:t>
      </w:r>
      <w:r>
        <w:rPr>
          <w:color w:val="auto"/>
        </w:rPr>
        <w:t xml:space="preserve">, </w:t>
      </w:r>
      <w:r w:rsidRPr="005A7008">
        <w:rPr>
          <w:color w:val="auto"/>
          <w:szCs w:val="28"/>
        </w:rPr>
        <w:t>số thu 9 tháng đạt 112%</w:t>
      </w:r>
      <w:r w:rsidRPr="005A7008">
        <w:rPr>
          <w:color w:val="auto"/>
        </w:rPr>
        <w:t xml:space="preserve">). </w:t>
      </w:r>
      <w:r w:rsidRPr="005A7008">
        <w:rPr>
          <w:color w:val="auto"/>
          <w:lang w:val="nl-NL"/>
        </w:rPr>
        <w:t xml:space="preserve">Nếu </w:t>
      </w:r>
      <w:r w:rsidRPr="000B086A">
        <w:rPr>
          <w:iCs/>
          <w:color w:val="auto"/>
          <w:lang w:val="nl-NL"/>
        </w:rPr>
        <w:t xml:space="preserve">so với cùng kỳ năm trước thì tất cả các </w:t>
      </w:r>
      <w:r w:rsidRPr="000B086A">
        <w:rPr>
          <w:color w:val="auto"/>
          <w:lang w:val="sv-SE"/>
        </w:rPr>
        <w:t>huyện có tăng trưởng thu.</w:t>
      </w:r>
    </w:p>
    <w:p w:rsidR="00B42DC8" w:rsidRPr="000B086A" w:rsidRDefault="00B42DC8" w:rsidP="00B42DC8">
      <w:pPr>
        <w:ind w:firstLine="567"/>
        <w:jc w:val="both"/>
        <w:rPr>
          <w:szCs w:val="28"/>
        </w:rPr>
      </w:pPr>
      <w:r w:rsidRPr="000B086A">
        <w:rPr>
          <w:b/>
          <w:snapToGrid w:val="0"/>
          <w:szCs w:val="28"/>
        </w:rPr>
        <w:t>- Thu thuế bảo vệ môi trường (xăng dầu):</w:t>
      </w:r>
      <w:r w:rsidRPr="000B086A">
        <w:rPr>
          <w:snapToGrid w:val="0"/>
          <w:szCs w:val="28"/>
        </w:rPr>
        <w:t xml:space="preserve"> 2.28</w:t>
      </w:r>
      <w:r>
        <w:rPr>
          <w:snapToGrid w:val="0"/>
          <w:szCs w:val="28"/>
        </w:rPr>
        <w:t>1</w:t>
      </w:r>
      <w:r w:rsidRPr="000B086A">
        <w:rPr>
          <w:snapToGrid w:val="0"/>
          <w:szCs w:val="28"/>
        </w:rPr>
        <w:t xml:space="preserve"> tỷ đồng, đạt 100% dự toán, so với cùng kỳ tăng 34%.</w:t>
      </w:r>
    </w:p>
    <w:p w:rsidR="00B42DC8" w:rsidRPr="000B086A" w:rsidRDefault="00B42DC8" w:rsidP="00B42DC8">
      <w:pPr>
        <w:widowControl w:val="0"/>
        <w:spacing w:before="60"/>
        <w:ind w:firstLine="567"/>
        <w:jc w:val="both"/>
        <w:rPr>
          <w:snapToGrid w:val="0"/>
          <w:szCs w:val="28"/>
        </w:rPr>
      </w:pPr>
      <w:r w:rsidRPr="000B086A">
        <w:rPr>
          <w:b/>
          <w:snapToGrid w:val="0"/>
          <w:szCs w:val="28"/>
        </w:rPr>
        <w:t>- Thu tiền sử dụng đất:</w:t>
      </w:r>
      <w:r w:rsidRPr="000B086A">
        <w:rPr>
          <w:snapToGrid w:val="0"/>
          <w:szCs w:val="28"/>
        </w:rPr>
        <w:t xml:space="preserve"> </w:t>
      </w:r>
      <w:r>
        <w:rPr>
          <w:snapToGrid w:val="0"/>
          <w:szCs w:val="28"/>
        </w:rPr>
        <w:t>657</w:t>
      </w:r>
      <w:r w:rsidRPr="000B086A">
        <w:rPr>
          <w:snapToGrid w:val="0"/>
          <w:szCs w:val="28"/>
        </w:rPr>
        <w:t xml:space="preserve"> tỷ đồng, đạt 1</w:t>
      </w:r>
      <w:r>
        <w:rPr>
          <w:snapToGrid w:val="0"/>
          <w:szCs w:val="28"/>
        </w:rPr>
        <w:t>46</w:t>
      </w:r>
      <w:r w:rsidRPr="000B086A">
        <w:rPr>
          <w:snapToGrid w:val="0"/>
          <w:szCs w:val="28"/>
        </w:rPr>
        <w:t>% dự toán.</w:t>
      </w:r>
    </w:p>
    <w:p w:rsidR="00B42DC8" w:rsidRPr="000B086A" w:rsidRDefault="00B42DC8" w:rsidP="00B42DC8">
      <w:pPr>
        <w:ind w:firstLine="567"/>
        <w:jc w:val="both"/>
        <w:rPr>
          <w:szCs w:val="28"/>
        </w:rPr>
      </w:pPr>
      <w:r w:rsidRPr="000B086A">
        <w:rPr>
          <w:b/>
          <w:snapToGrid w:val="0"/>
          <w:szCs w:val="28"/>
        </w:rPr>
        <w:lastRenderedPageBreak/>
        <w:t>- Thu lệ phí trước bạ:</w:t>
      </w:r>
      <w:r w:rsidRPr="000B086A">
        <w:rPr>
          <w:snapToGrid w:val="0"/>
          <w:szCs w:val="28"/>
        </w:rPr>
        <w:t xml:space="preserve"> 30</w:t>
      </w:r>
      <w:r>
        <w:rPr>
          <w:snapToGrid w:val="0"/>
          <w:szCs w:val="28"/>
        </w:rPr>
        <w:t>1</w:t>
      </w:r>
      <w:r w:rsidRPr="000B086A">
        <w:rPr>
          <w:snapToGrid w:val="0"/>
          <w:szCs w:val="28"/>
        </w:rPr>
        <w:t xml:space="preserve"> tỷ đồng, đạt 12</w:t>
      </w:r>
      <w:r>
        <w:rPr>
          <w:snapToGrid w:val="0"/>
          <w:szCs w:val="28"/>
        </w:rPr>
        <w:t>5</w:t>
      </w:r>
      <w:r w:rsidRPr="000B086A">
        <w:rPr>
          <w:snapToGrid w:val="0"/>
          <w:szCs w:val="28"/>
        </w:rPr>
        <w:t>% dự toán, tăng 2</w:t>
      </w:r>
      <w:r>
        <w:rPr>
          <w:snapToGrid w:val="0"/>
          <w:szCs w:val="28"/>
        </w:rPr>
        <w:t>2</w:t>
      </w:r>
      <w:r w:rsidRPr="000B086A">
        <w:rPr>
          <w:snapToGrid w:val="0"/>
          <w:szCs w:val="28"/>
        </w:rPr>
        <w:t>% cùng kỳ năm trước.</w:t>
      </w:r>
    </w:p>
    <w:p w:rsidR="00B42DC8" w:rsidRPr="000B086A" w:rsidRDefault="00B42DC8" w:rsidP="00B42DC8">
      <w:pPr>
        <w:ind w:firstLine="567"/>
        <w:jc w:val="both"/>
        <w:rPr>
          <w:szCs w:val="28"/>
        </w:rPr>
      </w:pPr>
      <w:r w:rsidRPr="000B086A">
        <w:rPr>
          <w:b/>
          <w:szCs w:val="28"/>
        </w:rPr>
        <w:t>-</w:t>
      </w:r>
      <w:r w:rsidRPr="000B086A">
        <w:rPr>
          <w:szCs w:val="28"/>
        </w:rPr>
        <w:t xml:space="preserve"> </w:t>
      </w:r>
      <w:r w:rsidRPr="000B086A">
        <w:rPr>
          <w:b/>
          <w:szCs w:val="28"/>
        </w:rPr>
        <w:t>Thu xổ số kiến thiết</w:t>
      </w:r>
      <w:r w:rsidRPr="000B086A">
        <w:rPr>
          <w:szCs w:val="28"/>
        </w:rPr>
        <w:t>: 1.400 tỷ đồng, đạt 101% dự toán</w:t>
      </w:r>
      <w:r>
        <w:rPr>
          <w:szCs w:val="28"/>
        </w:rPr>
        <w:t xml:space="preserve">, </w:t>
      </w:r>
      <w:r w:rsidRPr="000B086A">
        <w:rPr>
          <w:snapToGrid w:val="0"/>
          <w:szCs w:val="28"/>
        </w:rPr>
        <w:t xml:space="preserve">tăng </w:t>
      </w:r>
      <w:r>
        <w:rPr>
          <w:snapToGrid w:val="0"/>
          <w:szCs w:val="28"/>
        </w:rPr>
        <w:t>2</w:t>
      </w:r>
      <w:r w:rsidRPr="000B086A">
        <w:rPr>
          <w:snapToGrid w:val="0"/>
          <w:szCs w:val="28"/>
        </w:rPr>
        <w:t>% cùng kỳ năm trước.</w:t>
      </w:r>
    </w:p>
    <w:p w:rsidR="00B42DC8" w:rsidRPr="000B086A" w:rsidRDefault="00B42DC8" w:rsidP="00B42DC8">
      <w:pPr>
        <w:ind w:firstLine="567"/>
        <w:jc w:val="both"/>
        <w:rPr>
          <w:szCs w:val="28"/>
        </w:rPr>
      </w:pPr>
      <w:r w:rsidRPr="000B086A">
        <w:rPr>
          <w:b/>
          <w:szCs w:val="28"/>
        </w:rPr>
        <w:t>b. Thu từ hoạt động xuất, nhập khẩu:</w:t>
      </w:r>
      <w:r w:rsidRPr="000B086A">
        <w:rPr>
          <w:szCs w:val="28"/>
        </w:rPr>
        <w:t xml:space="preserve"> 78 tỷ đồng, đạt 100%, tăng 5% so với cùng kỳ.</w:t>
      </w:r>
    </w:p>
    <w:p w:rsidR="00B42DC8" w:rsidRPr="000B086A" w:rsidRDefault="00B42DC8" w:rsidP="00B42DC8">
      <w:pPr>
        <w:pStyle w:val="BodyTextIndent"/>
        <w:ind w:firstLine="567"/>
        <w:rPr>
          <w:szCs w:val="28"/>
        </w:rPr>
      </w:pPr>
      <w:r w:rsidRPr="000B086A">
        <w:rPr>
          <w:b/>
          <w:szCs w:val="28"/>
        </w:rPr>
        <w:t xml:space="preserve">2. Tổng thu ngân sách địa phương: </w:t>
      </w:r>
      <w:r w:rsidRPr="000B086A">
        <w:rPr>
          <w:szCs w:val="28"/>
        </w:rPr>
        <w:t>13.</w:t>
      </w:r>
      <w:r>
        <w:rPr>
          <w:szCs w:val="28"/>
        </w:rPr>
        <w:t>337</w:t>
      </w:r>
      <w:r w:rsidRPr="000B086A">
        <w:rPr>
          <w:szCs w:val="28"/>
        </w:rPr>
        <w:t xml:space="preserve"> tỷ đồng, gồm:</w:t>
      </w:r>
    </w:p>
    <w:p w:rsidR="00B42DC8" w:rsidRPr="000B086A" w:rsidRDefault="00B42DC8" w:rsidP="00B42DC8">
      <w:pPr>
        <w:pStyle w:val="BodyTextIndent"/>
        <w:ind w:firstLine="567"/>
        <w:rPr>
          <w:bCs/>
          <w:szCs w:val="28"/>
        </w:rPr>
      </w:pPr>
      <w:r w:rsidRPr="000B086A">
        <w:rPr>
          <w:b/>
          <w:szCs w:val="28"/>
        </w:rPr>
        <w:t>a.</w:t>
      </w:r>
      <w:r w:rsidRPr="000B086A">
        <w:rPr>
          <w:szCs w:val="28"/>
        </w:rPr>
        <w:t xml:space="preserve"> </w:t>
      </w:r>
      <w:r w:rsidRPr="000B086A">
        <w:rPr>
          <w:i/>
          <w:szCs w:val="28"/>
        </w:rPr>
        <w:t>Thu điều tiết NSĐP được hưởng theo phân cấp</w:t>
      </w:r>
      <w:r w:rsidRPr="000B086A">
        <w:rPr>
          <w:szCs w:val="28"/>
        </w:rPr>
        <w:t>: 6.</w:t>
      </w:r>
      <w:r>
        <w:rPr>
          <w:szCs w:val="28"/>
        </w:rPr>
        <w:t>469</w:t>
      </w:r>
      <w:r w:rsidRPr="000B086A">
        <w:rPr>
          <w:szCs w:val="28"/>
        </w:rPr>
        <w:t xml:space="preserve"> tỷ đồng.</w:t>
      </w:r>
    </w:p>
    <w:p w:rsidR="00B42DC8" w:rsidRPr="000B086A" w:rsidRDefault="00B42DC8" w:rsidP="00B42DC8">
      <w:pPr>
        <w:pStyle w:val="BodyText"/>
        <w:spacing w:before="0"/>
        <w:ind w:firstLine="567"/>
        <w:rPr>
          <w:szCs w:val="28"/>
        </w:rPr>
      </w:pPr>
      <w:r w:rsidRPr="000B086A">
        <w:rPr>
          <w:b/>
          <w:szCs w:val="28"/>
        </w:rPr>
        <w:t xml:space="preserve">b. </w:t>
      </w:r>
      <w:r w:rsidRPr="000B086A">
        <w:rPr>
          <w:i/>
          <w:szCs w:val="28"/>
        </w:rPr>
        <w:t>Thu bổ sung từ ngân sách Trung ương:</w:t>
      </w:r>
      <w:r w:rsidRPr="000B086A">
        <w:rPr>
          <w:szCs w:val="28"/>
        </w:rPr>
        <w:t xml:space="preserve"> 6.499 tỷ đồng, bao gồm:</w:t>
      </w:r>
    </w:p>
    <w:p w:rsidR="00B42DC8" w:rsidRPr="000B086A" w:rsidRDefault="00B42DC8" w:rsidP="00B42DC8">
      <w:pPr>
        <w:widowControl w:val="0"/>
        <w:ind w:firstLine="567"/>
        <w:jc w:val="both"/>
        <w:rPr>
          <w:snapToGrid w:val="0"/>
          <w:szCs w:val="28"/>
        </w:rPr>
      </w:pPr>
      <w:r w:rsidRPr="000B086A">
        <w:rPr>
          <w:szCs w:val="28"/>
        </w:rPr>
        <w:t>- Bổ sung cân đối ngân sách là 4.693 tỷ đồng, đạt 100% so với dự toán;</w:t>
      </w:r>
    </w:p>
    <w:p w:rsidR="00B42DC8" w:rsidRPr="000B086A" w:rsidRDefault="00B42DC8" w:rsidP="00B42DC8">
      <w:pPr>
        <w:widowControl w:val="0"/>
        <w:ind w:firstLine="567"/>
        <w:jc w:val="both"/>
        <w:rPr>
          <w:szCs w:val="28"/>
        </w:rPr>
      </w:pPr>
      <w:r w:rsidRPr="000B086A">
        <w:rPr>
          <w:szCs w:val="28"/>
        </w:rPr>
        <w:t>- Bổ sung có mục tiêu theo dự toán: 1.806 tỷ đồng, đạt 100% so với dự toán, trong đó mục tiêu Chương trình mục tiêu quốc gia 238 tỷ đồng; mục tiêu, nhiệm vụ quan trọng khác 1.368 tỷ đồng.</w:t>
      </w:r>
    </w:p>
    <w:p w:rsidR="00B42DC8" w:rsidRPr="000B086A" w:rsidRDefault="00B42DC8" w:rsidP="00B42DC8">
      <w:pPr>
        <w:ind w:firstLine="567"/>
        <w:jc w:val="both"/>
        <w:rPr>
          <w:szCs w:val="28"/>
        </w:rPr>
      </w:pPr>
      <w:r w:rsidRPr="000B086A">
        <w:rPr>
          <w:b/>
          <w:szCs w:val="28"/>
        </w:rPr>
        <w:t>c.</w:t>
      </w:r>
      <w:r w:rsidRPr="000B086A">
        <w:rPr>
          <w:szCs w:val="28"/>
        </w:rPr>
        <w:t xml:space="preserve"> Thu chuyển nguồn CCTL năm trước sang: 354 tỷ đồng.</w:t>
      </w:r>
    </w:p>
    <w:p w:rsidR="00B42DC8" w:rsidRPr="000B086A" w:rsidRDefault="00B42DC8" w:rsidP="00B42DC8">
      <w:pPr>
        <w:ind w:firstLine="567"/>
        <w:jc w:val="both"/>
        <w:rPr>
          <w:szCs w:val="28"/>
        </w:rPr>
      </w:pPr>
      <w:r w:rsidRPr="000B086A">
        <w:rPr>
          <w:b/>
          <w:szCs w:val="28"/>
        </w:rPr>
        <w:t>d.</w:t>
      </w:r>
      <w:r w:rsidRPr="000B086A">
        <w:rPr>
          <w:szCs w:val="28"/>
        </w:rPr>
        <w:t xml:space="preserve"> Thu vay từ nguồn Chính phủ vay về cho vay lại: 15 tỷ đồng. </w:t>
      </w:r>
    </w:p>
    <w:p w:rsidR="00B42DC8" w:rsidRPr="000B086A" w:rsidRDefault="00B42DC8" w:rsidP="00B42DC8">
      <w:pPr>
        <w:ind w:firstLine="567"/>
        <w:jc w:val="both"/>
        <w:rPr>
          <w:szCs w:val="28"/>
        </w:rPr>
      </w:pPr>
      <w:r w:rsidRPr="000B086A">
        <w:rPr>
          <w:b/>
          <w:szCs w:val="28"/>
        </w:rPr>
        <w:t xml:space="preserve">Tổng thu ngân sách địa phương: </w:t>
      </w:r>
      <w:r w:rsidRPr="000B086A">
        <w:rPr>
          <w:szCs w:val="28"/>
        </w:rPr>
        <w:t>13.</w:t>
      </w:r>
      <w:r>
        <w:rPr>
          <w:szCs w:val="28"/>
        </w:rPr>
        <w:t>337</w:t>
      </w:r>
      <w:r w:rsidRPr="000B086A">
        <w:rPr>
          <w:szCs w:val="28"/>
        </w:rPr>
        <w:t xml:space="preserve"> tỷ đồng, gồm: </w:t>
      </w:r>
    </w:p>
    <w:p w:rsidR="00B42DC8" w:rsidRPr="000B086A" w:rsidRDefault="00B42DC8" w:rsidP="00B42DC8">
      <w:pPr>
        <w:ind w:firstLine="567"/>
        <w:jc w:val="both"/>
        <w:rPr>
          <w:szCs w:val="28"/>
        </w:rPr>
      </w:pPr>
      <w:r w:rsidRPr="000B086A">
        <w:rPr>
          <w:szCs w:val="28"/>
        </w:rPr>
        <w:t>- Ngân sách cấp Tỉnh: 10.6</w:t>
      </w:r>
      <w:r>
        <w:rPr>
          <w:szCs w:val="28"/>
        </w:rPr>
        <w:t>88</w:t>
      </w:r>
      <w:r w:rsidRPr="000B086A">
        <w:rPr>
          <w:szCs w:val="28"/>
        </w:rPr>
        <w:t xml:space="preserve"> tỷ đồng;</w:t>
      </w:r>
    </w:p>
    <w:p w:rsidR="00B42DC8" w:rsidRPr="000B086A" w:rsidRDefault="00B42DC8" w:rsidP="00B42DC8">
      <w:pPr>
        <w:ind w:firstLine="567"/>
        <w:jc w:val="both"/>
        <w:rPr>
          <w:szCs w:val="28"/>
        </w:rPr>
      </w:pPr>
      <w:r w:rsidRPr="000B086A">
        <w:rPr>
          <w:szCs w:val="28"/>
        </w:rPr>
        <w:t>- Ngân sách huyện: 2.</w:t>
      </w:r>
      <w:r>
        <w:rPr>
          <w:szCs w:val="28"/>
        </w:rPr>
        <w:t>649</w:t>
      </w:r>
      <w:r w:rsidRPr="000B086A">
        <w:rPr>
          <w:szCs w:val="28"/>
        </w:rPr>
        <w:t xml:space="preserve"> tỷ đồng. (không kể ngân sách huyện thu bổ sung từ ngân sách cấp Tỉnh là 4.167 tỷ đồng).</w:t>
      </w:r>
    </w:p>
    <w:p w:rsidR="00B42DC8" w:rsidRPr="000B086A" w:rsidRDefault="00B42DC8" w:rsidP="00B42DC8">
      <w:pPr>
        <w:ind w:firstLine="567"/>
        <w:jc w:val="both"/>
        <w:rPr>
          <w:szCs w:val="28"/>
        </w:rPr>
      </w:pPr>
      <w:r w:rsidRPr="000B086A">
        <w:rPr>
          <w:szCs w:val="28"/>
        </w:rPr>
        <w:t>(Chi tiết theo phụ lục số 1)</w:t>
      </w:r>
    </w:p>
    <w:p w:rsidR="00B42DC8" w:rsidRPr="000B086A" w:rsidRDefault="00B42DC8" w:rsidP="00B42DC8">
      <w:pPr>
        <w:ind w:firstLine="567"/>
        <w:jc w:val="both"/>
        <w:rPr>
          <w:szCs w:val="28"/>
        </w:rPr>
      </w:pPr>
      <w:r w:rsidRPr="000B086A">
        <w:rPr>
          <w:b/>
          <w:szCs w:val="28"/>
        </w:rPr>
        <w:t xml:space="preserve">II. Ước thực hiện chi ngân sách địa phương năm 2019: </w:t>
      </w:r>
      <w:r w:rsidRPr="000B086A">
        <w:rPr>
          <w:szCs w:val="28"/>
        </w:rPr>
        <w:t>13</w:t>
      </w:r>
      <w:r w:rsidRPr="000B086A">
        <w:rPr>
          <w:bCs/>
          <w:szCs w:val="28"/>
        </w:rPr>
        <w:t>.</w:t>
      </w:r>
      <w:r>
        <w:rPr>
          <w:bCs/>
          <w:szCs w:val="28"/>
        </w:rPr>
        <w:t>337</w:t>
      </w:r>
      <w:r w:rsidRPr="000B086A">
        <w:rPr>
          <w:bCs/>
          <w:szCs w:val="28"/>
        </w:rPr>
        <w:t xml:space="preserve"> tỷ đồng, </w:t>
      </w:r>
      <w:r w:rsidRPr="000B086A">
        <w:rPr>
          <w:szCs w:val="28"/>
        </w:rPr>
        <w:t xml:space="preserve">tăng </w:t>
      </w:r>
      <w:r>
        <w:rPr>
          <w:szCs w:val="28"/>
        </w:rPr>
        <w:t>8</w:t>
      </w:r>
      <w:r w:rsidRPr="000B086A">
        <w:rPr>
          <w:szCs w:val="28"/>
        </w:rPr>
        <w:t>% so với dự toán năm; trong tổng chi, phần ngân sách cấp Tỉnh chi 6.</w:t>
      </w:r>
      <w:r>
        <w:rPr>
          <w:szCs w:val="28"/>
        </w:rPr>
        <w:t>521</w:t>
      </w:r>
      <w:r w:rsidRPr="000B086A">
        <w:rPr>
          <w:szCs w:val="28"/>
        </w:rPr>
        <w:t xml:space="preserve"> tỷ đồng và ngân sách huyện chi 6.</w:t>
      </w:r>
      <w:r>
        <w:rPr>
          <w:szCs w:val="28"/>
        </w:rPr>
        <w:t>816</w:t>
      </w:r>
      <w:r w:rsidRPr="000B086A">
        <w:rPr>
          <w:szCs w:val="28"/>
        </w:rPr>
        <w:t xml:space="preserve"> tỷ đồng.</w:t>
      </w:r>
    </w:p>
    <w:p w:rsidR="00B42DC8" w:rsidRPr="000B086A" w:rsidRDefault="00B42DC8" w:rsidP="00B42DC8">
      <w:pPr>
        <w:ind w:firstLine="567"/>
        <w:jc w:val="both"/>
        <w:rPr>
          <w:b/>
          <w:szCs w:val="28"/>
        </w:rPr>
      </w:pPr>
      <w:r w:rsidRPr="000B086A">
        <w:rPr>
          <w:b/>
          <w:szCs w:val="28"/>
        </w:rPr>
        <w:t>Một số khoản chi chủ yếu sau:</w:t>
      </w:r>
    </w:p>
    <w:p w:rsidR="00B42DC8" w:rsidRPr="000B086A" w:rsidRDefault="00B42DC8" w:rsidP="00B42DC8">
      <w:pPr>
        <w:ind w:firstLine="567"/>
        <w:jc w:val="both"/>
        <w:rPr>
          <w:szCs w:val="28"/>
        </w:rPr>
      </w:pPr>
      <w:r w:rsidRPr="000B086A">
        <w:rPr>
          <w:b/>
          <w:i/>
          <w:iCs/>
          <w:szCs w:val="28"/>
        </w:rPr>
        <w:t>a.</w:t>
      </w:r>
      <w:r w:rsidRPr="000B086A">
        <w:rPr>
          <w:i/>
          <w:iCs/>
          <w:szCs w:val="28"/>
        </w:rPr>
        <w:t xml:space="preserve"> Chi đầu tư phát triển (phần cân đối NSĐP):</w:t>
      </w:r>
      <w:r w:rsidRPr="000B086A">
        <w:rPr>
          <w:szCs w:val="28"/>
        </w:rPr>
        <w:t xml:space="preserve"> 3.</w:t>
      </w:r>
      <w:r>
        <w:rPr>
          <w:szCs w:val="28"/>
        </w:rPr>
        <w:t>481</w:t>
      </w:r>
      <w:r w:rsidRPr="000B086A">
        <w:rPr>
          <w:szCs w:val="28"/>
        </w:rPr>
        <w:t xml:space="preserve"> tỷ đồng, đạt 1</w:t>
      </w:r>
      <w:r>
        <w:rPr>
          <w:szCs w:val="28"/>
        </w:rPr>
        <w:t>21</w:t>
      </w:r>
      <w:r w:rsidRPr="000B086A">
        <w:rPr>
          <w:szCs w:val="28"/>
        </w:rPr>
        <w:t>% dự toán năm, trong đó: ngân sách cấp Tỉnh chi 2.1</w:t>
      </w:r>
      <w:r>
        <w:rPr>
          <w:szCs w:val="28"/>
        </w:rPr>
        <w:t>81</w:t>
      </w:r>
      <w:r w:rsidRPr="000B086A">
        <w:rPr>
          <w:szCs w:val="28"/>
        </w:rPr>
        <w:t xml:space="preserve"> tỷ đồng và ngân sách huyện chi 1.</w:t>
      </w:r>
      <w:r>
        <w:rPr>
          <w:szCs w:val="28"/>
        </w:rPr>
        <w:t>300</w:t>
      </w:r>
      <w:r w:rsidRPr="000B086A">
        <w:rPr>
          <w:szCs w:val="28"/>
        </w:rPr>
        <w:t xml:space="preserve"> tỷ đồng. Cụ thể như sau:</w:t>
      </w:r>
    </w:p>
    <w:p w:rsidR="00B42DC8" w:rsidRPr="000B086A" w:rsidRDefault="00B42DC8" w:rsidP="00B42DC8">
      <w:pPr>
        <w:pStyle w:val="BodyText"/>
        <w:spacing w:before="0"/>
        <w:ind w:firstLine="567"/>
        <w:rPr>
          <w:szCs w:val="28"/>
        </w:rPr>
      </w:pPr>
      <w:r w:rsidRPr="000B086A">
        <w:rPr>
          <w:szCs w:val="28"/>
        </w:rPr>
        <w:t>- Chi xây dựng cơ bản vốn tập trung trong nước: 1.036 tỷ đồng, đạt 100%.</w:t>
      </w:r>
    </w:p>
    <w:p w:rsidR="00B42DC8" w:rsidRPr="000B086A" w:rsidRDefault="00B42DC8" w:rsidP="00B42DC8">
      <w:pPr>
        <w:pStyle w:val="BodyTextIndent2"/>
        <w:ind w:firstLine="567"/>
        <w:rPr>
          <w:rFonts w:ascii="Times New Roman" w:hAnsi="Times New Roman"/>
          <w:b w:val="0"/>
          <w:bCs/>
          <w:szCs w:val="28"/>
          <w:u w:val="none"/>
        </w:rPr>
      </w:pPr>
      <w:r w:rsidRPr="000B086A">
        <w:rPr>
          <w:rFonts w:ascii="Times New Roman" w:hAnsi="Times New Roman"/>
          <w:b w:val="0"/>
          <w:bCs/>
          <w:szCs w:val="28"/>
          <w:u w:val="none"/>
        </w:rPr>
        <w:t xml:space="preserve">- Chi </w:t>
      </w:r>
      <w:r>
        <w:rPr>
          <w:rFonts w:ascii="Times New Roman" w:hAnsi="Times New Roman"/>
          <w:b w:val="0"/>
          <w:bCs/>
          <w:szCs w:val="28"/>
          <w:u w:val="none"/>
        </w:rPr>
        <w:t>đầu tư</w:t>
      </w:r>
      <w:r w:rsidRPr="000B086A">
        <w:rPr>
          <w:rFonts w:ascii="Times New Roman" w:hAnsi="Times New Roman"/>
          <w:b w:val="0"/>
          <w:bCs/>
          <w:szCs w:val="28"/>
          <w:u w:val="none"/>
        </w:rPr>
        <w:t xml:space="preserve"> từ nguồn thu tiền sử dụng đất: </w:t>
      </w:r>
      <w:r>
        <w:rPr>
          <w:rFonts w:ascii="Times New Roman" w:hAnsi="Times New Roman"/>
          <w:b w:val="0"/>
          <w:bCs/>
          <w:szCs w:val="28"/>
          <w:u w:val="none"/>
        </w:rPr>
        <w:t>657</w:t>
      </w:r>
      <w:r w:rsidRPr="000B086A">
        <w:rPr>
          <w:rFonts w:ascii="Times New Roman" w:hAnsi="Times New Roman"/>
          <w:b w:val="0"/>
          <w:bCs/>
          <w:szCs w:val="28"/>
          <w:u w:val="none"/>
        </w:rPr>
        <w:t xml:space="preserve"> tỷ đồng, khoản chi đầu tư này bố trí tương ứng với số thu.</w:t>
      </w:r>
    </w:p>
    <w:p w:rsidR="00B42DC8" w:rsidRPr="000B086A" w:rsidRDefault="00B42DC8" w:rsidP="00B42DC8">
      <w:pPr>
        <w:pStyle w:val="BodyTextIndent2"/>
        <w:ind w:firstLine="567"/>
        <w:rPr>
          <w:rFonts w:ascii="Times New Roman" w:hAnsi="Times New Roman"/>
          <w:b w:val="0"/>
          <w:bCs/>
          <w:szCs w:val="28"/>
          <w:u w:val="none"/>
        </w:rPr>
      </w:pPr>
      <w:r w:rsidRPr="000B086A">
        <w:rPr>
          <w:rFonts w:ascii="Times New Roman" w:hAnsi="Times New Roman"/>
          <w:b w:val="0"/>
          <w:bCs/>
          <w:szCs w:val="28"/>
          <w:u w:val="none"/>
        </w:rPr>
        <w:t>- Chi đầu tư từ nguồn thu xổ số kiến thiết: 1.400 tỷ đồng, khoản chi đầu tư này bố trí tương ứng với số thu.</w:t>
      </w:r>
    </w:p>
    <w:p w:rsidR="00B42DC8" w:rsidRPr="000B086A" w:rsidRDefault="00B42DC8" w:rsidP="00B42DC8">
      <w:pPr>
        <w:pStyle w:val="BodyTextIndent2"/>
        <w:ind w:firstLine="567"/>
        <w:rPr>
          <w:rFonts w:ascii="Times New Roman" w:hAnsi="Times New Roman"/>
          <w:b w:val="0"/>
          <w:bCs/>
          <w:szCs w:val="28"/>
          <w:u w:val="none"/>
        </w:rPr>
      </w:pPr>
      <w:r w:rsidRPr="000B086A">
        <w:rPr>
          <w:rFonts w:ascii="Times New Roman" w:hAnsi="Times New Roman"/>
          <w:b w:val="0"/>
          <w:bCs/>
          <w:szCs w:val="28"/>
          <w:u w:val="none"/>
        </w:rPr>
        <w:t>- Chi đầu tư từ nguồn tăng thu: 38</w:t>
      </w:r>
      <w:r>
        <w:rPr>
          <w:rFonts w:ascii="Times New Roman" w:hAnsi="Times New Roman"/>
          <w:b w:val="0"/>
          <w:bCs/>
          <w:szCs w:val="28"/>
          <w:u w:val="none"/>
        </w:rPr>
        <w:t>8</w:t>
      </w:r>
      <w:r w:rsidRPr="000B086A">
        <w:rPr>
          <w:rFonts w:ascii="Times New Roman" w:hAnsi="Times New Roman"/>
          <w:b w:val="0"/>
          <w:bCs/>
          <w:szCs w:val="28"/>
          <w:u w:val="none"/>
        </w:rPr>
        <w:t xml:space="preserve"> tỷ đồng.</w:t>
      </w:r>
    </w:p>
    <w:p w:rsidR="00B42DC8" w:rsidRPr="000B086A" w:rsidRDefault="00B42DC8" w:rsidP="00B42DC8">
      <w:pPr>
        <w:ind w:firstLine="737"/>
        <w:jc w:val="both"/>
        <w:rPr>
          <w:bCs/>
          <w:szCs w:val="28"/>
          <w:lang w:val="x-none"/>
        </w:rPr>
      </w:pPr>
      <w:r w:rsidRPr="000B086A">
        <w:rPr>
          <w:b/>
          <w:i/>
          <w:iCs/>
          <w:szCs w:val="28"/>
        </w:rPr>
        <w:t>b.</w:t>
      </w:r>
      <w:r w:rsidRPr="000B086A">
        <w:rPr>
          <w:i/>
          <w:iCs/>
          <w:szCs w:val="28"/>
        </w:rPr>
        <w:t xml:space="preserve"> Các khoản chi thường xuyên:</w:t>
      </w:r>
      <w:r w:rsidRPr="000B086A">
        <w:rPr>
          <w:szCs w:val="28"/>
        </w:rPr>
        <w:t xml:space="preserve"> 7.839 tỷ đồng (ước thực hiện chi thường xuyên chưa kể chi tiền lương tăng thêm theo mức tiền lương cơ sở 1.490.000 đồng/tháng), đạt 103%, trong đó: ngân sách cấp Tỉnh chi 2.795 tỷ đồng và ngân sách huyện chi 5.044 tỷ đồng. Riêng chi sự nghiệp giáo dục, đào tạo 3.322 tỷ đồng, đạt 100%.</w:t>
      </w:r>
    </w:p>
    <w:p w:rsidR="00B42DC8" w:rsidRPr="000B086A" w:rsidRDefault="00B42DC8" w:rsidP="00B42DC8">
      <w:pPr>
        <w:ind w:firstLine="567"/>
        <w:jc w:val="both"/>
        <w:rPr>
          <w:szCs w:val="28"/>
        </w:rPr>
      </w:pPr>
      <w:r w:rsidRPr="000B086A">
        <w:rPr>
          <w:b/>
          <w:szCs w:val="28"/>
        </w:rPr>
        <w:t>c.</w:t>
      </w:r>
      <w:r w:rsidRPr="000B086A">
        <w:rPr>
          <w:szCs w:val="28"/>
        </w:rPr>
        <w:t xml:space="preserve"> </w:t>
      </w:r>
      <w:r w:rsidRPr="000B086A">
        <w:rPr>
          <w:i/>
          <w:szCs w:val="28"/>
        </w:rPr>
        <w:t>Chi bổ sung quỹ dự trữ tài chính:</w:t>
      </w:r>
      <w:r w:rsidRPr="000B086A">
        <w:rPr>
          <w:szCs w:val="28"/>
        </w:rPr>
        <w:t xml:space="preserve"> 2 tỷ đồng, đạt 100% .</w:t>
      </w:r>
    </w:p>
    <w:p w:rsidR="00B42DC8" w:rsidRPr="000B086A" w:rsidRDefault="00B42DC8" w:rsidP="00B42DC8">
      <w:pPr>
        <w:ind w:firstLine="567"/>
        <w:jc w:val="both"/>
        <w:rPr>
          <w:szCs w:val="28"/>
        </w:rPr>
      </w:pPr>
      <w:r w:rsidRPr="000B086A">
        <w:rPr>
          <w:b/>
          <w:szCs w:val="28"/>
        </w:rPr>
        <w:t>d.</w:t>
      </w:r>
      <w:r w:rsidRPr="000B086A">
        <w:rPr>
          <w:szCs w:val="28"/>
        </w:rPr>
        <w:t xml:space="preserve"> </w:t>
      </w:r>
      <w:r w:rsidRPr="000B086A">
        <w:rPr>
          <w:i/>
          <w:szCs w:val="28"/>
        </w:rPr>
        <w:t>Chi điều chỉnh tiền lương tăng thêm theo quy định</w:t>
      </w:r>
      <w:r w:rsidRPr="000B086A">
        <w:rPr>
          <w:szCs w:val="28"/>
        </w:rPr>
        <w:t>: 156 tỷ đồng.</w:t>
      </w:r>
    </w:p>
    <w:p w:rsidR="00B42DC8" w:rsidRPr="000B086A" w:rsidRDefault="00B42DC8" w:rsidP="00B42DC8">
      <w:pPr>
        <w:ind w:firstLine="567"/>
        <w:jc w:val="both"/>
        <w:rPr>
          <w:szCs w:val="28"/>
        </w:rPr>
      </w:pPr>
      <w:r w:rsidRPr="000B086A">
        <w:rPr>
          <w:b/>
          <w:szCs w:val="28"/>
        </w:rPr>
        <w:t>e</w:t>
      </w:r>
      <w:r w:rsidRPr="000B086A">
        <w:rPr>
          <w:szCs w:val="28"/>
        </w:rPr>
        <w:t>. Chi tạo nguồn cải cách tiền lương theo quy định: 4</w:t>
      </w:r>
      <w:r>
        <w:rPr>
          <w:szCs w:val="28"/>
        </w:rPr>
        <w:t>20</w:t>
      </w:r>
      <w:r w:rsidRPr="000B086A">
        <w:rPr>
          <w:szCs w:val="28"/>
        </w:rPr>
        <w:t xml:space="preserve"> tỷ đồng.</w:t>
      </w:r>
    </w:p>
    <w:p w:rsidR="00B42DC8" w:rsidRPr="000B086A" w:rsidRDefault="00B42DC8" w:rsidP="00B42DC8">
      <w:pPr>
        <w:ind w:firstLine="567"/>
        <w:jc w:val="both"/>
        <w:rPr>
          <w:szCs w:val="28"/>
        </w:rPr>
      </w:pPr>
      <w:r w:rsidRPr="000B086A">
        <w:rPr>
          <w:b/>
          <w:i/>
          <w:szCs w:val="28"/>
        </w:rPr>
        <w:t>g.</w:t>
      </w:r>
      <w:r w:rsidRPr="000B086A">
        <w:rPr>
          <w:i/>
          <w:szCs w:val="28"/>
        </w:rPr>
        <w:t xml:space="preserve"> Chi thực hiện các chương trình từ nguồn bổ sung có mục tiêu của ngân sách trung ương:</w:t>
      </w:r>
      <w:r w:rsidRPr="000B086A">
        <w:rPr>
          <w:iCs/>
          <w:szCs w:val="28"/>
        </w:rPr>
        <w:t xml:space="preserve"> 1.424 </w:t>
      </w:r>
      <w:r w:rsidRPr="000B086A">
        <w:rPr>
          <w:szCs w:val="28"/>
        </w:rPr>
        <w:t>tỷ đồng, đạt 100% dự toán năm.</w:t>
      </w:r>
    </w:p>
    <w:p w:rsidR="00B42DC8" w:rsidRPr="000B086A" w:rsidRDefault="00B42DC8" w:rsidP="00B42DC8">
      <w:pPr>
        <w:ind w:firstLine="567"/>
        <w:jc w:val="both"/>
        <w:rPr>
          <w:szCs w:val="28"/>
        </w:rPr>
      </w:pPr>
      <w:r w:rsidRPr="000B086A">
        <w:rPr>
          <w:b/>
          <w:i/>
          <w:szCs w:val="28"/>
        </w:rPr>
        <w:t>h.</w:t>
      </w:r>
      <w:r w:rsidRPr="000B086A">
        <w:rPr>
          <w:i/>
          <w:szCs w:val="28"/>
        </w:rPr>
        <w:t xml:space="preserve"> Chi đầu tư từ nguồn vốn Chính phủ vay về cho vay lại:</w:t>
      </w:r>
      <w:r w:rsidRPr="000B086A">
        <w:rPr>
          <w:szCs w:val="28"/>
        </w:rPr>
        <w:t xml:space="preserve"> 15 tỷ đồng.</w:t>
      </w:r>
    </w:p>
    <w:p w:rsidR="00B42DC8" w:rsidRPr="000B086A" w:rsidRDefault="00B42DC8" w:rsidP="00B42DC8">
      <w:pPr>
        <w:ind w:firstLine="567"/>
        <w:jc w:val="both"/>
        <w:rPr>
          <w:szCs w:val="28"/>
        </w:rPr>
      </w:pPr>
      <w:r w:rsidRPr="000B086A">
        <w:rPr>
          <w:szCs w:val="28"/>
        </w:rPr>
        <w:t>(Chi tiết từng khoản chi theo phụ lục số 2)</w:t>
      </w:r>
    </w:p>
    <w:p w:rsidR="00B42DC8" w:rsidRPr="000B086A" w:rsidRDefault="00B42DC8" w:rsidP="00B42DC8">
      <w:pPr>
        <w:pStyle w:val="BodyText"/>
        <w:spacing w:before="0"/>
        <w:ind w:firstLine="567"/>
        <w:rPr>
          <w:szCs w:val="28"/>
        </w:rPr>
      </w:pPr>
      <w:r w:rsidRPr="000B086A">
        <w:rPr>
          <w:b/>
          <w:szCs w:val="28"/>
        </w:rPr>
        <w:t>2. Chi bổ sung cho ngân sách cấp dưới:</w:t>
      </w:r>
      <w:r w:rsidRPr="000B086A">
        <w:rPr>
          <w:szCs w:val="28"/>
        </w:rPr>
        <w:t xml:space="preserve"> 4.167 tỷ đồng, gồm:</w:t>
      </w:r>
    </w:p>
    <w:p w:rsidR="00B42DC8" w:rsidRPr="000B086A" w:rsidRDefault="00B42DC8" w:rsidP="00B42DC8">
      <w:pPr>
        <w:ind w:firstLine="567"/>
        <w:jc w:val="both"/>
        <w:rPr>
          <w:szCs w:val="28"/>
        </w:rPr>
      </w:pPr>
      <w:r w:rsidRPr="000B086A">
        <w:rPr>
          <w:szCs w:val="28"/>
        </w:rPr>
        <w:t>-</w:t>
      </w:r>
      <w:r w:rsidRPr="000B086A">
        <w:rPr>
          <w:iCs/>
          <w:szCs w:val="28"/>
        </w:rPr>
        <w:t xml:space="preserve"> Bổ sung cân đối ngân sách:</w:t>
      </w:r>
      <w:r w:rsidRPr="000B086A">
        <w:rPr>
          <w:szCs w:val="28"/>
        </w:rPr>
        <w:t xml:space="preserve"> 3.465 tỷ đồng, đạt 100% dự toán năm;</w:t>
      </w:r>
    </w:p>
    <w:p w:rsidR="00B42DC8" w:rsidRPr="000B086A" w:rsidRDefault="00B42DC8" w:rsidP="00B42DC8">
      <w:pPr>
        <w:ind w:firstLine="567"/>
        <w:jc w:val="both"/>
        <w:rPr>
          <w:szCs w:val="28"/>
        </w:rPr>
      </w:pPr>
      <w:r w:rsidRPr="000B086A">
        <w:rPr>
          <w:iCs/>
          <w:szCs w:val="28"/>
        </w:rPr>
        <w:lastRenderedPageBreak/>
        <w:t>- Bổ sung có mục tiêu: 702</w:t>
      </w:r>
      <w:r w:rsidRPr="000B086A">
        <w:rPr>
          <w:szCs w:val="28"/>
        </w:rPr>
        <w:t xml:space="preserve"> tỷ đồng, trong đó: bổ sung theo dự toán giao là 655 tỷ đồng, bổ sung có mục tiêu ngoài dự toán nguồn thực hiện tiền lương tăng thêm theo quy định là 47 tỷ đồng.</w:t>
      </w:r>
    </w:p>
    <w:p w:rsidR="00B42DC8" w:rsidRPr="00F932CD" w:rsidRDefault="00B42DC8" w:rsidP="00B42DC8">
      <w:pPr>
        <w:spacing w:before="120" w:line="20" w:lineRule="atLeast"/>
        <w:ind w:firstLine="510"/>
        <w:jc w:val="both"/>
        <w:rPr>
          <w:b/>
          <w:color w:val="FF0000"/>
          <w:szCs w:val="28"/>
        </w:rPr>
      </w:pPr>
      <w:r w:rsidRPr="001E165E">
        <w:rPr>
          <w:b/>
          <w:szCs w:val="28"/>
        </w:rPr>
        <w:t>III. Cân đối ngân sách địa phương năm 2019</w:t>
      </w:r>
    </w:p>
    <w:p w:rsidR="00B42DC8" w:rsidRPr="00F932CD" w:rsidRDefault="00B42DC8" w:rsidP="00B42DC8">
      <w:pPr>
        <w:ind w:firstLine="737"/>
        <w:jc w:val="both"/>
        <w:rPr>
          <w:bCs/>
          <w:color w:val="FF0000"/>
          <w:szCs w:val="28"/>
          <w:lang w:val="x-none"/>
        </w:rPr>
      </w:pPr>
      <w:r w:rsidRPr="00713431">
        <w:rPr>
          <w:bCs/>
          <w:szCs w:val="28"/>
          <w:lang w:val="x-none"/>
        </w:rPr>
        <w:t xml:space="preserve">Nhìn chung, trong </w:t>
      </w:r>
      <w:r w:rsidRPr="00713431">
        <w:rPr>
          <w:bCs/>
          <w:szCs w:val="28"/>
        </w:rPr>
        <w:t>9</w:t>
      </w:r>
      <w:r w:rsidRPr="00713431">
        <w:rPr>
          <w:bCs/>
          <w:szCs w:val="28"/>
          <w:lang w:val="x-none"/>
        </w:rPr>
        <w:t xml:space="preserve"> tháng đầu năm, công tác tổ chức điều hành NSNN đã được triển khai tích cực, chủ động; NSNN luôn đảm bảo nguồn đáp ứng kịp thời các nhu cầu chi theo dự toán; đảm bảo nguồn kinh phí thực hiện chính sách tăng lương cơ sở (từ 1.</w:t>
      </w:r>
      <w:r w:rsidRPr="00713431">
        <w:rPr>
          <w:bCs/>
          <w:szCs w:val="28"/>
        </w:rPr>
        <w:t>39</w:t>
      </w:r>
      <w:r w:rsidRPr="00713431">
        <w:rPr>
          <w:bCs/>
          <w:szCs w:val="28"/>
          <w:lang w:val="x-none"/>
        </w:rPr>
        <w:t>0.000 đồng/tháng lên 1.</w:t>
      </w:r>
      <w:r w:rsidRPr="00713431">
        <w:rPr>
          <w:bCs/>
          <w:szCs w:val="28"/>
        </w:rPr>
        <w:t>49</w:t>
      </w:r>
      <w:r w:rsidRPr="00713431">
        <w:rPr>
          <w:bCs/>
          <w:szCs w:val="28"/>
          <w:lang w:val="x-none"/>
        </w:rPr>
        <w:t>0.000 đồng/tháng) từ 1/7/2019</w:t>
      </w:r>
      <w:r w:rsidRPr="00713431">
        <w:rPr>
          <w:bCs/>
          <w:szCs w:val="28"/>
        </w:rPr>
        <w:t>, chính sách an sinh xã hội</w:t>
      </w:r>
      <w:r w:rsidRPr="00713431">
        <w:rPr>
          <w:bCs/>
          <w:szCs w:val="28"/>
          <w:lang w:val="x-none"/>
        </w:rPr>
        <w:t xml:space="preserve"> và bổ sung kinh phí cho công tác phòng, chống, khắc phục hậu quả thiên tai, dịch bệnh, đảm bảo quốc phòng, an ninh.....</w:t>
      </w:r>
    </w:p>
    <w:p w:rsidR="00B42DC8" w:rsidRPr="00F932CD" w:rsidRDefault="00B42DC8" w:rsidP="00B42DC8">
      <w:pPr>
        <w:pStyle w:val="BodyTextIndent2"/>
        <w:ind w:firstLine="567"/>
        <w:rPr>
          <w:rFonts w:ascii="Times New Roman" w:hAnsi="Times New Roman"/>
          <w:b w:val="0"/>
          <w:bCs/>
          <w:szCs w:val="28"/>
          <w:u w:val="none"/>
        </w:rPr>
      </w:pPr>
      <w:r w:rsidRPr="00713431">
        <w:rPr>
          <w:rFonts w:ascii="Times New Roman" w:hAnsi="Times New Roman"/>
          <w:b w:val="0"/>
          <w:szCs w:val="28"/>
          <w:u w:val="none"/>
        </w:rPr>
        <w:t>Theo Báo cáo</w:t>
      </w:r>
      <w:r>
        <w:rPr>
          <w:rFonts w:ascii="Times New Roman" w:hAnsi="Times New Roman"/>
          <w:b w:val="0"/>
          <w:szCs w:val="28"/>
          <w:u w:val="none"/>
        </w:rPr>
        <w:t xml:space="preserve"> của</w:t>
      </w:r>
      <w:r w:rsidRPr="00713431">
        <w:rPr>
          <w:rFonts w:ascii="Times New Roman" w:hAnsi="Times New Roman"/>
          <w:b w:val="0"/>
          <w:szCs w:val="28"/>
          <w:u w:val="none"/>
        </w:rPr>
        <w:t xml:space="preserve"> </w:t>
      </w:r>
      <w:r>
        <w:rPr>
          <w:rFonts w:ascii="Times New Roman" w:hAnsi="Times New Roman"/>
          <w:b w:val="0"/>
          <w:szCs w:val="28"/>
          <w:u w:val="none"/>
        </w:rPr>
        <w:t>Sở Kế hoạch Đầu tư</w:t>
      </w:r>
      <w:r w:rsidRPr="00713431">
        <w:rPr>
          <w:rFonts w:ascii="Times New Roman" w:hAnsi="Times New Roman"/>
          <w:b w:val="0"/>
          <w:szCs w:val="28"/>
          <w:u w:val="none"/>
        </w:rPr>
        <w:t>, tình hình giải ngân vốn đầu tư</w:t>
      </w:r>
      <w:r>
        <w:rPr>
          <w:rFonts w:ascii="Times New Roman" w:hAnsi="Times New Roman"/>
          <w:b w:val="0"/>
          <w:szCs w:val="28"/>
          <w:u w:val="none"/>
        </w:rPr>
        <w:t xml:space="preserve"> kế hoạch vốn năm 2019</w:t>
      </w:r>
      <w:r w:rsidRPr="00713431">
        <w:rPr>
          <w:rFonts w:ascii="Times New Roman" w:hAnsi="Times New Roman"/>
          <w:b w:val="0"/>
          <w:szCs w:val="28"/>
          <w:u w:val="none"/>
        </w:rPr>
        <w:t xml:space="preserve"> lũy kế đến </w:t>
      </w:r>
      <w:r>
        <w:rPr>
          <w:rFonts w:ascii="Times New Roman" w:hAnsi="Times New Roman"/>
          <w:b w:val="0"/>
          <w:szCs w:val="28"/>
          <w:u w:val="none"/>
        </w:rPr>
        <w:t>ngày 14/10</w:t>
      </w:r>
      <w:r w:rsidRPr="00713431">
        <w:rPr>
          <w:rFonts w:ascii="Times New Roman" w:hAnsi="Times New Roman"/>
          <w:b w:val="0"/>
          <w:szCs w:val="28"/>
          <w:u w:val="none"/>
        </w:rPr>
        <w:t xml:space="preserve">/2019 đạt </w:t>
      </w:r>
      <w:r>
        <w:rPr>
          <w:rFonts w:ascii="Times New Roman" w:hAnsi="Times New Roman"/>
          <w:b w:val="0"/>
          <w:szCs w:val="28"/>
          <w:u w:val="none"/>
        </w:rPr>
        <w:t>43</w:t>
      </w:r>
      <w:r w:rsidRPr="00713431">
        <w:rPr>
          <w:rFonts w:ascii="Times New Roman" w:hAnsi="Times New Roman"/>
          <w:b w:val="0"/>
          <w:szCs w:val="28"/>
          <w:u w:val="none"/>
        </w:rPr>
        <w:t xml:space="preserve">% dự toán, trong </w:t>
      </w:r>
      <w:r>
        <w:rPr>
          <w:rFonts w:ascii="Times New Roman" w:hAnsi="Times New Roman"/>
          <w:b w:val="0"/>
          <w:szCs w:val="28"/>
          <w:u w:val="none"/>
        </w:rPr>
        <w:t>đó vốn đầu tư cân đối NSĐP đạt 4</w:t>
      </w:r>
      <w:r w:rsidRPr="00713431">
        <w:rPr>
          <w:rFonts w:ascii="Times New Roman" w:hAnsi="Times New Roman"/>
          <w:b w:val="0"/>
          <w:szCs w:val="28"/>
          <w:u w:val="none"/>
        </w:rPr>
        <w:t xml:space="preserve">6% dự toán; nguồn vốn NSTW bổ sung có mục tiêu đạt </w:t>
      </w:r>
      <w:r>
        <w:rPr>
          <w:rFonts w:ascii="Times New Roman" w:hAnsi="Times New Roman"/>
          <w:b w:val="0"/>
          <w:szCs w:val="28"/>
          <w:u w:val="none"/>
        </w:rPr>
        <w:t>34</w:t>
      </w:r>
      <w:r w:rsidRPr="00713431">
        <w:rPr>
          <w:rFonts w:ascii="Times New Roman" w:hAnsi="Times New Roman"/>
          <w:b w:val="0"/>
          <w:szCs w:val="28"/>
          <w:u w:val="none"/>
        </w:rPr>
        <w:t xml:space="preserve">% dự toán. </w:t>
      </w:r>
      <w:r w:rsidRPr="001B395F">
        <w:rPr>
          <w:rFonts w:ascii="Times New Roman" w:hAnsi="Times New Roman"/>
          <w:b w:val="0"/>
          <w:szCs w:val="28"/>
          <w:u w:val="none"/>
        </w:rPr>
        <w:t xml:space="preserve">Tiến </w:t>
      </w:r>
      <w:r w:rsidRPr="002C03FB">
        <w:rPr>
          <w:rFonts w:ascii="Times New Roman" w:hAnsi="Times New Roman"/>
          <w:b w:val="0"/>
          <w:szCs w:val="28"/>
          <w:u w:val="none"/>
        </w:rPr>
        <w:t>độ giải ngân vốn đầu tư vẫn còn chậm, chưa đạt yêu cầu, nhất là các công trình đầu tư từ nguồn vốn do ngân sách trung ương bổ sung có mục tiêu</w:t>
      </w:r>
      <w:r>
        <w:rPr>
          <w:rFonts w:ascii="Times New Roman" w:hAnsi="Times New Roman"/>
          <w:b w:val="0"/>
          <w:szCs w:val="28"/>
          <w:u w:val="none"/>
        </w:rPr>
        <w:t xml:space="preserve"> (vốn trái phiếu Chính phủ đạt 3,35%; vốn nước ngoài đạt 22,69%)</w:t>
      </w:r>
      <w:r w:rsidRPr="002C03FB">
        <w:rPr>
          <w:rFonts w:ascii="Times New Roman" w:hAnsi="Times New Roman"/>
          <w:b w:val="0"/>
          <w:szCs w:val="28"/>
          <w:u w:val="none"/>
        </w:rPr>
        <w:t>. Một số chủ đầu tư cần đẩy nhanh tiến độ hơn nữa trong công tác chuẩn bị đầu tư, giải phóng mặt bằng mới có thể kịp đưa công trình vào thi công và hoàn thành theo kế hoạch, khắc phục tình trạng vốn đợi công trình, gây lãng phí lớn cho ngân sách ảnh hưởng đến việc tăng trưởng kinh tế của Tỉnh.</w:t>
      </w:r>
      <w:r w:rsidRPr="002C03FB">
        <w:rPr>
          <w:rFonts w:ascii="Times New Roman" w:hAnsi="Times New Roman"/>
          <w:b w:val="0"/>
          <w:sz w:val="27"/>
          <w:szCs w:val="27"/>
          <w:u w:val="none"/>
        </w:rPr>
        <w:t xml:space="preserve"> </w:t>
      </w:r>
      <w:r w:rsidRPr="002C03FB">
        <w:rPr>
          <w:rFonts w:ascii="Times New Roman" w:hAnsi="Times New Roman"/>
          <w:b w:val="0"/>
          <w:szCs w:val="28"/>
          <w:u w:val="none"/>
        </w:rPr>
        <w:t>Về nguồn, ngân sách đảm bảo đáp ứng đủ nguồn</w:t>
      </w:r>
      <w:r w:rsidRPr="00F932CD">
        <w:rPr>
          <w:rFonts w:ascii="Times New Roman" w:hAnsi="Times New Roman"/>
          <w:b w:val="0"/>
          <w:szCs w:val="28"/>
          <w:u w:val="none"/>
        </w:rPr>
        <w:t xml:space="preserve"> vốn đầu tư xây dựng cơ bản theo dự toán cơ quan có thẩm quyền giao cho các chủ đầu tư nhưng khả năng hết năm 201</w:t>
      </w:r>
      <w:r>
        <w:rPr>
          <w:rFonts w:ascii="Times New Roman" w:hAnsi="Times New Roman"/>
          <w:b w:val="0"/>
          <w:szCs w:val="28"/>
          <w:u w:val="none"/>
        </w:rPr>
        <w:t>9</w:t>
      </w:r>
      <w:r w:rsidRPr="00F932CD">
        <w:rPr>
          <w:rFonts w:ascii="Times New Roman" w:hAnsi="Times New Roman"/>
          <w:b w:val="0"/>
          <w:szCs w:val="28"/>
          <w:u w:val="none"/>
        </w:rPr>
        <w:t>, dự kiến các Chủ đầu tư giải ngân vốn đầu tư xây dựng cơ bản năm 201</w:t>
      </w:r>
      <w:r>
        <w:rPr>
          <w:rFonts w:ascii="Times New Roman" w:hAnsi="Times New Roman"/>
          <w:b w:val="0"/>
          <w:szCs w:val="28"/>
          <w:u w:val="none"/>
        </w:rPr>
        <w:t>9</w:t>
      </w:r>
      <w:r w:rsidRPr="00F932CD">
        <w:rPr>
          <w:rFonts w:ascii="Times New Roman" w:hAnsi="Times New Roman"/>
          <w:b w:val="0"/>
          <w:szCs w:val="28"/>
          <w:u w:val="none"/>
        </w:rPr>
        <w:t xml:space="preserve"> không đạt yêu cầu.</w:t>
      </w:r>
    </w:p>
    <w:p w:rsidR="00B42DC8" w:rsidRPr="00F932CD" w:rsidRDefault="00B42DC8" w:rsidP="00B42DC8">
      <w:pPr>
        <w:pStyle w:val="BodyTextIndent"/>
        <w:spacing w:line="20" w:lineRule="atLeast"/>
        <w:ind w:firstLine="510"/>
        <w:rPr>
          <w:bCs/>
          <w:color w:val="FF0000"/>
          <w:szCs w:val="28"/>
        </w:rPr>
      </w:pPr>
      <w:r w:rsidRPr="000B086A">
        <w:rPr>
          <w:bCs/>
          <w:szCs w:val="28"/>
        </w:rPr>
        <w:t xml:space="preserve">Ước thực hiện thu của ngân sách địa phương năm 2019, không kể thu xổ số kiến thiết, thu tiền sử dụng đất, </w:t>
      </w:r>
      <w:r w:rsidRPr="000B086A">
        <w:rPr>
          <w:szCs w:val="28"/>
        </w:rPr>
        <w:t>dự kiến ngân sách địa phương tăng thu khoảng 7</w:t>
      </w:r>
      <w:r>
        <w:rPr>
          <w:szCs w:val="28"/>
        </w:rPr>
        <w:t>76</w:t>
      </w:r>
      <w:r w:rsidRPr="000B086A">
        <w:rPr>
          <w:szCs w:val="28"/>
        </w:rPr>
        <w:t xml:space="preserve"> tỷ đồng </w:t>
      </w:r>
      <w:r w:rsidRPr="000B086A">
        <w:rPr>
          <w:bCs/>
          <w:szCs w:val="28"/>
        </w:rPr>
        <w:t>so với dự toán phần ngân sách địa phương hưởng theo phân cấp</w:t>
      </w:r>
      <w:r w:rsidRPr="000B086A">
        <w:rPr>
          <w:szCs w:val="28"/>
        </w:rPr>
        <w:t xml:space="preserve">, </w:t>
      </w:r>
      <w:r w:rsidRPr="00F932CD">
        <w:rPr>
          <w:szCs w:val="28"/>
        </w:rPr>
        <w:t xml:space="preserve">trong đó ngân sách cấp Tỉnh tăng thu khoảng </w:t>
      </w:r>
      <w:r>
        <w:rPr>
          <w:szCs w:val="28"/>
        </w:rPr>
        <w:t>319</w:t>
      </w:r>
      <w:r w:rsidRPr="00F932CD">
        <w:rPr>
          <w:szCs w:val="28"/>
        </w:rPr>
        <w:t xml:space="preserve"> tỷ đồng, </w:t>
      </w:r>
      <w:r w:rsidRPr="00F932CD">
        <w:rPr>
          <w:bCs/>
          <w:szCs w:val="28"/>
          <w:lang w:val="x-none"/>
        </w:rPr>
        <w:t xml:space="preserve">chủ yếu </w:t>
      </w:r>
      <w:r>
        <w:rPr>
          <w:bCs/>
          <w:szCs w:val="28"/>
        </w:rPr>
        <w:t xml:space="preserve">tăng </w:t>
      </w:r>
      <w:r w:rsidRPr="00F932CD">
        <w:rPr>
          <w:bCs/>
          <w:szCs w:val="28"/>
          <w:lang w:val="x-none"/>
        </w:rPr>
        <w:t>thu từ việc bán cổ phần của Cty TM Dầu khí, Cty xây lắp</w:t>
      </w:r>
      <w:r w:rsidRPr="00F932CD">
        <w:rPr>
          <w:bCs/>
          <w:szCs w:val="28"/>
        </w:rPr>
        <w:t xml:space="preserve">, Cty Cấp nước và </w:t>
      </w:r>
      <w:r>
        <w:rPr>
          <w:bCs/>
          <w:szCs w:val="28"/>
        </w:rPr>
        <w:t>Môi trường đ</w:t>
      </w:r>
      <w:r w:rsidRPr="00F932CD">
        <w:rPr>
          <w:bCs/>
          <w:szCs w:val="28"/>
        </w:rPr>
        <w:t>ô thị</w:t>
      </w:r>
      <w:r>
        <w:rPr>
          <w:bCs/>
          <w:szCs w:val="28"/>
        </w:rPr>
        <w:t xml:space="preserve"> của Tỉnh</w:t>
      </w:r>
      <w:r w:rsidRPr="00F932CD">
        <w:rPr>
          <w:szCs w:val="28"/>
        </w:rPr>
        <w:t>; ngân sách huyện, thị xã, thành phố tăng thu khoảng 4</w:t>
      </w:r>
      <w:r>
        <w:rPr>
          <w:szCs w:val="28"/>
        </w:rPr>
        <w:t>57</w:t>
      </w:r>
      <w:r w:rsidRPr="00F932CD">
        <w:rPr>
          <w:szCs w:val="28"/>
        </w:rPr>
        <w:t xml:space="preserve"> tỷ đồng (theo đánh giá của Cục Thuế, tất cả 12 huyện, thị xã, thành phố có khả năng đạt và vượt dự toán) chủ yếu vượt thu từ khu vực kinh tế ngoài quốc doanh.</w:t>
      </w:r>
    </w:p>
    <w:p w:rsidR="00B42DC8" w:rsidRPr="00713431" w:rsidRDefault="00B42DC8" w:rsidP="00B42DC8">
      <w:pPr>
        <w:ind w:firstLine="510"/>
        <w:jc w:val="both"/>
        <w:rPr>
          <w:bCs/>
          <w:szCs w:val="28"/>
          <w:lang w:val="x-none"/>
        </w:rPr>
      </w:pPr>
      <w:r w:rsidRPr="00713431">
        <w:rPr>
          <w:bCs/>
          <w:szCs w:val="28"/>
          <w:lang w:val="x-none"/>
        </w:rPr>
        <w:t xml:space="preserve">Số tăng thu phần ngân sách cấp tỉnh, theo quy định, dành tối thiểu 50% tăng thu để tạo nguồn cải cách tiền lương, tương ứng khoảng </w:t>
      </w:r>
      <w:r w:rsidRPr="00713431">
        <w:rPr>
          <w:bCs/>
          <w:szCs w:val="28"/>
        </w:rPr>
        <w:t>159</w:t>
      </w:r>
      <w:r w:rsidRPr="00713431">
        <w:rPr>
          <w:bCs/>
          <w:szCs w:val="28"/>
          <w:lang w:val="x-none"/>
        </w:rPr>
        <w:t xml:space="preserve"> tỷ đồng, còn lại khoảng </w:t>
      </w:r>
      <w:r w:rsidRPr="00713431">
        <w:rPr>
          <w:bCs/>
          <w:szCs w:val="28"/>
        </w:rPr>
        <w:t>159</w:t>
      </w:r>
      <w:r w:rsidRPr="00713431">
        <w:rPr>
          <w:bCs/>
          <w:szCs w:val="28"/>
          <w:lang w:val="x-none"/>
        </w:rPr>
        <w:t xml:space="preserve"> tỷ đồng, </w:t>
      </w:r>
      <w:r w:rsidRPr="00713431">
        <w:rPr>
          <w:bCs/>
          <w:szCs w:val="28"/>
        </w:rPr>
        <w:t>dự kiến</w:t>
      </w:r>
      <w:r w:rsidRPr="00713431">
        <w:rPr>
          <w:bCs/>
          <w:szCs w:val="28"/>
          <w:lang w:val="x-none"/>
        </w:rPr>
        <w:t xml:space="preserve"> bổ sung </w:t>
      </w:r>
      <w:r w:rsidRPr="00713431">
        <w:rPr>
          <w:bCs/>
          <w:szCs w:val="28"/>
        </w:rPr>
        <w:t xml:space="preserve">đảm bảo </w:t>
      </w:r>
      <w:r w:rsidRPr="00713431">
        <w:rPr>
          <w:bCs/>
          <w:szCs w:val="28"/>
          <w:lang w:val="x-none"/>
        </w:rPr>
        <w:t>vốn điều lệ Quỹ Đầu tư phát triển của tỉnh</w:t>
      </w:r>
      <w:r w:rsidRPr="00713431">
        <w:rPr>
          <w:bCs/>
          <w:szCs w:val="28"/>
        </w:rPr>
        <w:t xml:space="preserve"> và các nhiệm vụ cấp </w:t>
      </w:r>
      <w:r>
        <w:rPr>
          <w:bCs/>
          <w:szCs w:val="28"/>
        </w:rPr>
        <w:t xml:space="preserve">bách </w:t>
      </w:r>
      <w:r w:rsidRPr="00713431">
        <w:rPr>
          <w:bCs/>
          <w:szCs w:val="28"/>
        </w:rPr>
        <w:t>khác</w:t>
      </w:r>
      <w:r w:rsidRPr="00713431">
        <w:rPr>
          <w:bCs/>
          <w:szCs w:val="28"/>
          <w:lang w:val="x-none"/>
        </w:rPr>
        <w:t>.</w:t>
      </w:r>
    </w:p>
    <w:p w:rsidR="00B42DC8" w:rsidRPr="00E142EE" w:rsidRDefault="00B42DC8" w:rsidP="00B42DC8">
      <w:pPr>
        <w:ind w:firstLine="567"/>
        <w:jc w:val="both"/>
        <w:rPr>
          <w:b/>
          <w:szCs w:val="28"/>
        </w:rPr>
      </w:pPr>
      <w:r w:rsidRPr="00E142EE">
        <w:rPr>
          <w:b/>
          <w:szCs w:val="28"/>
        </w:rPr>
        <w:t>B. Dự toán ngân sách nhà nước năm 2020:</w:t>
      </w:r>
    </w:p>
    <w:p w:rsidR="00B42DC8" w:rsidRPr="000B086A" w:rsidRDefault="00B42DC8" w:rsidP="00B42DC8">
      <w:pPr>
        <w:widowControl w:val="0"/>
        <w:ind w:firstLine="567"/>
        <w:jc w:val="both"/>
        <w:rPr>
          <w:b/>
          <w:szCs w:val="28"/>
        </w:rPr>
      </w:pPr>
      <w:r w:rsidRPr="000B086A">
        <w:rPr>
          <w:b/>
          <w:szCs w:val="28"/>
        </w:rPr>
        <w:t xml:space="preserve">I. </w:t>
      </w:r>
      <w:r>
        <w:rPr>
          <w:b/>
          <w:szCs w:val="28"/>
        </w:rPr>
        <w:t xml:space="preserve">Dự toán </w:t>
      </w:r>
      <w:r w:rsidRPr="000B086A">
        <w:rPr>
          <w:b/>
          <w:szCs w:val="28"/>
        </w:rPr>
        <w:t>thu ngân sách nhà nước:</w:t>
      </w:r>
    </w:p>
    <w:p w:rsidR="00B42DC8" w:rsidRPr="000B086A" w:rsidRDefault="00B42DC8" w:rsidP="00B42DC8">
      <w:pPr>
        <w:ind w:firstLine="567"/>
        <w:jc w:val="both"/>
        <w:rPr>
          <w:szCs w:val="28"/>
        </w:rPr>
      </w:pPr>
      <w:r w:rsidRPr="000B086A">
        <w:rPr>
          <w:b/>
          <w:szCs w:val="28"/>
        </w:rPr>
        <w:t>1.</w:t>
      </w:r>
      <w:r w:rsidRPr="000B086A">
        <w:rPr>
          <w:szCs w:val="28"/>
        </w:rPr>
        <w:t xml:space="preserve"> Dự toán thu ngân sách nhà nước trên địa bàn: 8.495 tỷ đồng, tăng </w:t>
      </w:r>
      <w:r>
        <w:rPr>
          <w:szCs w:val="28"/>
        </w:rPr>
        <w:t>5</w:t>
      </w:r>
      <w:r w:rsidRPr="000B086A">
        <w:rPr>
          <w:szCs w:val="28"/>
        </w:rPr>
        <w:t>% so với ước thực hiện năm 2019. Bao gồm:</w:t>
      </w:r>
    </w:p>
    <w:p w:rsidR="00B42DC8" w:rsidRPr="000B086A" w:rsidRDefault="00B42DC8" w:rsidP="00B42DC8">
      <w:pPr>
        <w:ind w:firstLine="567"/>
        <w:jc w:val="both"/>
        <w:rPr>
          <w:szCs w:val="28"/>
        </w:rPr>
      </w:pPr>
      <w:r w:rsidRPr="000B086A">
        <w:rPr>
          <w:b/>
          <w:szCs w:val="28"/>
        </w:rPr>
        <w:t xml:space="preserve">a. </w:t>
      </w:r>
      <w:r w:rsidRPr="000B086A">
        <w:rPr>
          <w:szCs w:val="28"/>
        </w:rPr>
        <w:t xml:space="preserve">Thu nội địa: 8.425 tỷ đồng, tăng </w:t>
      </w:r>
      <w:r>
        <w:rPr>
          <w:szCs w:val="28"/>
        </w:rPr>
        <w:t>5</w:t>
      </w:r>
      <w:r w:rsidRPr="000B086A">
        <w:rPr>
          <w:szCs w:val="28"/>
        </w:rPr>
        <w:t>%</w:t>
      </w:r>
      <w:r>
        <w:rPr>
          <w:szCs w:val="28"/>
        </w:rPr>
        <w:t>, thu nội địa không kể thu tiền sử dụng đất, thu xổ số kiến thiết, tăng 7%</w:t>
      </w:r>
      <w:r w:rsidRPr="000B086A">
        <w:rPr>
          <w:szCs w:val="28"/>
        </w:rPr>
        <w:t>.</w:t>
      </w:r>
    </w:p>
    <w:p w:rsidR="00B42DC8" w:rsidRPr="000B086A" w:rsidRDefault="00B42DC8" w:rsidP="00B42DC8">
      <w:pPr>
        <w:pStyle w:val="BodyTextIndent"/>
        <w:ind w:firstLine="567"/>
        <w:rPr>
          <w:szCs w:val="28"/>
        </w:rPr>
      </w:pPr>
      <w:r w:rsidRPr="000B086A">
        <w:rPr>
          <w:b/>
          <w:szCs w:val="28"/>
        </w:rPr>
        <w:t xml:space="preserve">b. </w:t>
      </w:r>
      <w:r w:rsidRPr="000B086A">
        <w:rPr>
          <w:szCs w:val="28"/>
        </w:rPr>
        <w:t>Thu từ hoạt động XNK: 70 tỷ đồng, giảm 10%.</w:t>
      </w:r>
    </w:p>
    <w:p w:rsidR="00B42DC8" w:rsidRPr="00F932CD" w:rsidRDefault="00B42DC8" w:rsidP="00B42DC8">
      <w:pPr>
        <w:ind w:firstLine="567"/>
        <w:jc w:val="both"/>
        <w:rPr>
          <w:b/>
          <w:color w:val="FF0000"/>
          <w:szCs w:val="28"/>
        </w:rPr>
      </w:pPr>
      <w:r w:rsidRPr="00F932CD">
        <w:rPr>
          <w:b/>
          <w:color w:val="FF0000"/>
          <w:szCs w:val="28"/>
        </w:rPr>
        <w:t>2. Thu ngân sách địa phương</w:t>
      </w:r>
      <w:r w:rsidRPr="005E2069">
        <w:rPr>
          <w:color w:val="FF0000"/>
          <w:szCs w:val="28"/>
        </w:rPr>
        <w:t>: 1</w:t>
      </w:r>
      <w:r>
        <w:rPr>
          <w:color w:val="FF0000"/>
          <w:szCs w:val="28"/>
        </w:rPr>
        <w:t>3</w:t>
      </w:r>
      <w:r w:rsidRPr="00F932CD">
        <w:rPr>
          <w:color w:val="FF0000"/>
          <w:szCs w:val="28"/>
        </w:rPr>
        <w:t>.</w:t>
      </w:r>
      <w:r>
        <w:rPr>
          <w:color w:val="FF0000"/>
          <w:szCs w:val="28"/>
        </w:rPr>
        <w:t>687</w:t>
      </w:r>
      <w:r w:rsidRPr="00F932CD">
        <w:rPr>
          <w:color w:val="FF0000"/>
          <w:szCs w:val="28"/>
        </w:rPr>
        <w:t xml:space="preserve"> tỷ đồng, gồm:</w:t>
      </w:r>
    </w:p>
    <w:p w:rsidR="00B42DC8" w:rsidRPr="002C03FB" w:rsidRDefault="00B42DC8" w:rsidP="00B42DC8">
      <w:pPr>
        <w:ind w:firstLine="567"/>
        <w:jc w:val="both"/>
        <w:rPr>
          <w:b/>
          <w:szCs w:val="28"/>
        </w:rPr>
      </w:pPr>
      <w:r w:rsidRPr="002C03FB">
        <w:rPr>
          <w:b/>
          <w:szCs w:val="28"/>
        </w:rPr>
        <w:t>a.</w:t>
      </w:r>
      <w:r w:rsidRPr="002C03FB">
        <w:rPr>
          <w:szCs w:val="28"/>
        </w:rPr>
        <w:t xml:space="preserve"> </w:t>
      </w:r>
      <w:r w:rsidRPr="002C03FB">
        <w:rPr>
          <w:i/>
          <w:szCs w:val="28"/>
        </w:rPr>
        <w:t>Thu điều tiết NSĐP được hưởng theo phân cấp</w:t>
      </w:r>
      <w:r w:rsidRPr="002C03FB">
        <w:rPr>
          <w:szCs w:val="28"/>
        </w:rPr>
        <w:t>: 6.719 tỷ đồng.</w:t>
      </w:r>
    </w:p>
    <w:p w:rsidR="00B42DC8" w:rsidRPr="00F932CD" w:rsidRDefault="00B42DC8" w:rsidP="00B42DC8">
      <w:pPr>
        <w:ind w:firstLine="567"/>
        <w:jc w:val="both"/>
        <w:rPr>
          <w:i/>
          <w:color w:val="FF0000"/>
          <w:szCs w:val="28"/>
          <w:lang w:val="nl-NL"/>
        </w:rPr>
      </w:pPr>
      <w:r w:rsidRPr="00F932CD">
        <w:rPr>
          <w:b/>
          <w:color w:val="FF0000"/>
          <w:szCs w:val="28"/>
          <w:lang w:val="nl-NL"/>
        </w:rPr>
        <w:t xml:space="preserve">b. </w:t>
      </w:r>
      <w:r w:rsidRPr="00F932CD">
        <w:rPr>
          <w:i/>
          <w:color w:val="FF0000"/>
          <w:szCs w:val="28"/>
          <w:lang w:val="nl-NL"/>
        </w:rPr>
        <w:t xml:space="preserve">Thu bổ sung từ ngân sách trung ương: </w:t>
      </w:r>
      <w:r>
        <w:rPr>
          <w:color w:val="FF0000"/>
          <w:szCs w:val="28"/>
          <w:lang w:val="nl-NL"/>
        </w:rPr>
        <w:t>6</w:t>
      </w:r>
      <w:r w:rsidRPr="00F932CD">
        <w:rPr>
          <w:color w:val="FF0000"/>
          <w:szCs w:val="28"/>
          <w:lang w:val="nl-NL"/>
        </w:rPr>
        <w:t>.</w:t>
      </w:r>
      <w:r>
        <w:rPr>
          <w:color w:val="FF0000"/>
          <w:szCs w:val="28"/>
          <w:lang w:val="nl-NL"/>
        </w:rPr>
        <w:t>519</w:t>
      </w:r>
      <w:r w:rsidRPr="00F932CD">
        <w:rPr>
          <w:color w:val="FF0000"/>
          <w:szCs w:val="28"/>
          <w:lang w:val="nl-NL"/>
        </w:rPr>
        <w:t xml:space="preserve"> tỷ đồng, gồm:</w:t>
      </w:r>
    </w:p>
    <w:p w:rsidR="00B42DC8" w:rsidRPr="002C03FB" w:rsidRDefault="00B42DC8" w:rsidP="00B42DC8">
      <w:pPr>
        <w:ind w:firstLine="567"/>
        <w:jc w:val="both"/>
        <w:rPr>
          <w:szCs w:val="28"/>
          <w:lang w:val="nl-NL"/>
        </w:rPr>
      </w:pPr>
      <w:r w:rsidRPr="002C03FB">
        <w:rPr>
          <w:szCs w:val="28"/>
          <w:lang w:val="nl-NL"/>
        </w:rPr>
        <w:lastRenderedPageBreak/>
        <w:t>- Bổ sung cân đối ngân sách: 4.787 tỷ đồng.</w:t>
      </w:r>
    </w:p>
    <w:p w:rsidR="00B42DC8" w:rsidRPr="00F932CD" w:rsidRDefault="00B42DC8" w:rsidP="00B42DC8">
      <w:pPr>
        <w:ind w:firstLine="567"/>
        <w:jc w:val="both"/>
        <w:rPr>
          <w:color w:val="FF0000"/>
          <w:szCs w:val="28"/>
          <w:lang w:val="nl-NL"/>
        </w:rPr>
      </w:pPr>
      <w:r w:rsidRPr="00E142EE">
        <w:rPr>
          <w:color w:val="FF0000"/>
          <w:szCs w:val="28"/>
          <w:lang w:val="nl-NL"/>
        </w:rPr>
        <w:t>- Bổ sung có mục tiêu:</w:t>
      </w:r>
      <w:r w:rsidRPr="00E142EE">
        <w:rPr>
          <w:i/>
          <w:color w:val="FF0000"/>
          <w:szCs w:val="28"/>
        </w:rPr>
        <w:t xml:space="preserve"> </w:t>
      </w:r>
      <w:r w:rsidRPr="00E416DA">
        <w:rPr>
          <w:szCs w:val="28"/>
        </w:rPr>
        <w:t>1</w:t>
      </w:r>
      <w:r>
        <w:rPr>
          <w:szCs w:val="28"/>
        </w:rPr>
        <w:t>.732</w:t>
      </w:r>
      <w:r w:rsidRPr="00E416DA">
        <w:rPr>
          <w:szCs w:val="28"/>
        </w:rPr>
        <w:t xml:space="preserve"> tỷ đồng, gồm bổ sung </w:t>
      </w:r>
      <w:r w:rsidRPr="00E416DA">
        <w:rPr>
          <w:color w:val="FF0000"/>
          <w:lang w:val="nl-NL"/>
        </w:rPr>
        <w:t>Chương trình mục tiêu quốc gia</w:t>
      </w:r>
      <w:r>
        <w:rPr>
          <w:color w:val="FF0000"/>
          <w:lang w:val="nl-NL"/>
        </w:rPr>
        <w:t xml:space="preserve"> 427 tỷ đồng</w:t>
      </w:r>
      <w:r w:rsidRPr="00E416DA">
        <w:rPr>
          <w:color w:val="FF0000"/>
          <w:lang w:val="nl-NL"/>
        </w:rPr>
        <w:t>; mục tiêu, nhiệm vụ quan trọng (vốn XDCB)</w:t>
      </w:r>
      <w:r>
        <w:rPr>
          <w:color w:val="FF0000"/>
          <w:lang w:val="nl-NL"/>
        </w:rPr>
        <w:t xml:space="preserve"> 907 tỷ đồng;</w:t>
      </w:r>
      <w:r w:rsidRPr="00E416DA">
        <w:rPr>
          <w:color w:val="FF0000"/>
          <w:lang w:val="nl-NL"/>
        </w:rPr>
        <w:t xml:space="preserve"> mục tiêu, nhiệm vụ khác (vốn sự nghiệp) </w:t>
      </w:r>
      <w:r>
        <w:rPr>
          <w:color w:val="FF0000"/>
          <w:lang w:val="nl-NL"/>
        </w:rPr>
        <w:t>276 tỷ đồng</w:t>
      </w:r>
      <w:r w:rsidRPr="00E416DA">
        <w:rPr>
          <w:szCs w:val="28"/>
        </w:rPr>
        <w:t xml:space="preserve">; kinh phí thực hiện tiền lương cơ sở 1.490.000 đồng/tháng là </w:t>
      </w:r>
      <w:r>
        <w:rPr>
          <w:szCs w:val="28"/>
        </w:rPr>
        <w:t>27</w:t>
      </w:r>
      <w:r w:rsidRPr="00E416DA">
        <w:rPr>
          <w:szCs w:val="28"/>
        </w:rPr>
        <w:t xml:space="preserve"> tỷ đồng</w:t>
      </w:r>
      <w:r>
        <w:rPr>
          <w:szCs w:val="28"/>
        </w:rPr>
        <w:t xml:space="preserve"> và kinh phí đảm bảo nhiệm vụ chi 96 tỷ đồng</w:t>
      </w:r>
      <w:r w:rsidRPr="00E416DA">
        <w:rPr>
          <w:szCs w:val="28"/>
        </w:rPr>
        <w:t>.</w:t>
      </w:r>
    </w:p>
    <w:p w:rsidR="00B42DC8" w:rsidRPr="002C03FB" w:rsidRDefault="00B42DC8" w:rsidP="00B42DC8">
      <w:pPr>
        <w:pStyle w:val="BodyTextIndent"/>
        <w:ind w:firstLine="567"/>
        <w:rPr>
          <w:szCs w:val="28"/>
        </w:rPr>
      </w:pPr>
      <w:r w:rsidRPr="002C03FB">
        <w:rPr>
          <w:b/>
          <w:szCs w:val="28"/>
        </w:rPr>
        <w:t>c.</w:t>
      </w:r>
      <w:r w:rsidRPr="002C03FB">
        <w:rPr>
          <w:szCs w:val="28"/>
        </w:rPr>
        <w:t xml:space="preserve"> Thu chuyển nguồn thực hiện CCTL năm trước: </w:t>
      </w:r>
      <w:r>
        <w:rPr>
          <w:szCs w:val="28"/>
        </w:rPr>
        <w:t>418</w:t>
      </w:r>
      <w:r w:rsidRPr="002C03FB">
        <w:rPr>
          <w:szCs w:val="28"/>
        </w:rPr>
        <w:t xml:space="preserve"> tỷ đồng.</w:t>
      </w:r>
    </w:p>
    <w:p w:rsidR="00B42DC8" w:rsidRPr="00F932CD" w:rsidRDefault="00B42DC8" w:rsidP="00B42DC8">
      <w:pPr>
        <w:pStyle w:val="BodyTextIndent"/>
        <w:ind w:firstLine="567"/>
        <w:rPr>
          <w:color w:val="FF0000"/>
          <w:szCs w:val="28"/>
        </w:rPr>
      </w:pPr>
      <w:r w:rsidRPr="00F932CD">
        <w:rPr>
          <w:b/>
          <w:color w:val="FF0000"/>
          <w:szCs w:val="28"/>
        </w:rPr>
        <w:t>d.</w:t>
      </w:r>
      <w:r w:rsidRPr="00F932CD">
        <w:rPr>
          <w:color w:val="FF0000"/>
          <w:szCs w:val="28"/>
        </w:rPr>
        <w:t xml:space="preserve"> Thu vay từ nguồn Chính phủ vay về cho vay lại: </w:t>
      </w:r>
      <w:r>
        <w:rPr>
          <w:color w:val="FF0000"/>
          <w:szCs w:val="28"/>
        </w:rPr>
        <w:t xml:space="preserve">31 </w:t>
      </w:r>
      <w:r w:rsidRPr="00F932CD">
        <w:rPr>
          <w:color w:val="FF0000"/>
          <w:szCs w:val="28"/>
        </w:rPr>
        <w:t xml:space="preserve">tỷ đồng. </w:t>
      </w:r>
    </w:p>
    <w:p w:rsidR="00B42DC8" w:rsidRPr="002C03FB" w:rsidRDefault="00B42DC8" w:rsidP="00B42DC8">
      <w:pPr>
        <w:ind w:firstLine="567"/>
        <w:jc w:val="both"/>
        <w:rPr>
          <w:szCs w:val="28"/>
        </w:rPr>
      </w:pPr>
      <w:r w:rsidRPr="002C03FB">
        <w:rPr>
          <w:szCs w:val="28"/>
        </w:rPr>
        <w:t>(Chi tiết theo phụ lục số 1)</w:t>
      </w:r>
    </w:p>
    <w:p w:rsidR="00B42DC8" w:rsidRPr="00F932CD" w:rsidRDefault="00B42DC8" w:rsidP="00B42DC8">
      <w:pPr>
        <w:ind w:firstLine="567"/>
        <w:jc w:val="both"/>
        <w:rPr>
          <w:color w:val="FF0000"/>
          <w:szCs w:val="28"/>
        </w:rPr>
      </w:pPr>
      <w:r w:rsidRPr="00F932CD">
        <w:rPr>
          <w:b/>
          <w:bCs/>
          <w:iCs/>
          <w:color w:val="FF0000"/>
          <w:szCs w:val="28"/>
        </w:rPr>
        <w:t xml:space="preserve">II. </w:t>
      </w:r>
      <w:r>
        <w:rPr>
          <w:b/>
          <w:bCs/>
          <w:iCs/>
          <w:color w:val="FF0000"/>
          <w:szCs w:val="28"/>
        </w:rPr>
        <w:t>Dự toán</w:t>
      </w:r>
      <w:r w:rsidRPr="00F932CD">
        <w:rPr>
          <w:b/>
          <w:bCs/>
          <w:iCs/>
          <w:color w:val="FF0000"/>
          <w:szCs w:val="28"/>
        </w:rPr>
        <w:t xml:space="preserve"> chi ngân sách địa phương:</w:t>
      </w:r>
    </w:p>
    <w:p w:rsidR="00B42DC8" w:rsidRPr="00F932CD" w:rsidRDefault="00B42DC8" w:rsidP="00B42DC8">
      <w:pPr>
        <w:ind w:firstLine="567"/>
        <w:jc w:val="both"/>
        <w:rPr>
          <w:color w:val="FF0000"/>
          <w:szCs w:val="28"/>
          <w:lang w:val="nl-NL"/>
        </w:rPr>
      </w:pPr>
      <w:r w:rsidRPr="00F932CD">
        <w:rPr>
          <w:color w:val="FF0000"/>
          <w:szCs w:val="28"/>
        </w:rPr>
        <w:t>Dự toán chi ngân sách địa phương:</w:t>
      </w:r>
      <w:r w:rsidRPr="00F932CD">
        <w:rPr>
          <w:b/>
          <w:color w:val="FF0000"/>
          <w:szCs w:val="28"/>
          <w:lang w:val="nl-NL"/>
        </w:rPr>
        <w:t xml:space="preserve"> </w:t>
      </w:r>
      <w:r w:rsidRPr="00F932CD">
        <w:rPr>
          <w:color w:val="FF0000"/>
          <w:szCs w:val="28"/>
          <w:lang w:val="nl-NL"/>
        </w:rPr>
        <w:t>1</w:t>
      </w:r>
      <w:r>
        <w:rPr>
          <w:color w:val="FF0000"/>
          <w:szCs w:val="28"/>
          <w:lang w:val="nl-NL"/>
        </w:rPr>
        <w:t>3</w:t>
      </w:r>
      <w:r w:rsidRPr="00F932CD">
        <w:rPr>
          <w:color w:val="FF0000"/>
          <w:szCs w:val="28"/>
          <w:lang w:val="nl-NL"/>
        </w:rPr>
        <w:t>.</w:t>
      </w:r>
      <w:r>
        <w:rPr>
          <w:color w:val="FF0000"/>
          <w:szCs w:val="28"/>
          <w:lang w:val="nl-NL"/>
        </w:rPr>
        <w:t>687</w:t>
      </w:r>
      <w:r w:rsidRPr="00F932CD">
        <w:rPr>
          <w:color w:val="FF0000"/>
          <w:szCs w:val="28"/>
          <w:lang w:val="nl-NL"/>
        </w:rPr>
        <w:t xml:space="preserve"> tỷ đồng, tăng </w:t>
      </w:r>
      <w:r>
        <w:rPr>
          <w:color w:val="FF0000"/>
          <w:szCs w:val="28"/>
          <w:lang w:val="nl-NL"/>
        </w:rPr>
        <w:t>11</w:t>
      </w:r>
      <w:r w:rsidRPr="00F932CD">
        <w:rPr>
          <w:color w:val="FF0000"/>
          <w:szCs w:val="28"/>
          <w:lang w:val="nl-NL"/>
        </w:rPr>
        <w:t>% so với dự toán năm 2019, gồm:</w:t>
      </w:r>
    </w:p>
    <w:p w:rsidR="00B42DC8" w:rsidRPr="000B086A" w:rsidRDefault="00B42DC8" w:rsidP="00B42DC8">
      <w:pPr>
        <w:ind w:firstLine="567"/>
        <w:jc w:val="both"/>
        <w:rPr>
          <w:szCs w:val="28"/>
          <w:lang w:val="nl-NL"/>
        </w:rPr>
      </w:pPr>
      <w:r w:rsidRPr="000B086A">
        <w:rPr>
          <w:b/>
          <w:szCs w:val="28"/>
          <w:lang w:val="nl-NL"/>
        </w:rPr>
        <w:t>1.</w:t>
      </w:r>
      <w:r w:rsidRPr="000B086A">
        <w:rPr>
          <w:szCs w:val="28"/>
          <w:lang w:val="nl-NL"/>
        </w:rPr>
        <w:t xml:space="preserve"> Chi đầu tư phát triển (phần chi cân đối NSĐP): 3.1</w:t>
      </w:r>
      <w:r>
        <w:rPr>
          <w:szCs w:val="28"/>
          <w:lang w:val="nl-NL"/>
        </w:rPr>
        <w:t>91</w:t>
      </w:r>
      <w:r w:rsidRPr="000B086A">
        <w:rPr>
          <w:szCs w:val="28"/>
          <w:lang w:val="nl-NL"/>
        </w:rPr>
        <w:t xml:space="preserve"> tỷ đồng, </w:t>
      </w:r>
      <w:r>
        <w:rPr>
          <w:szCs w:val="28"/>
          <w:lang w:val="nl-NL"/>
        </w:rPr>
        <w:t xml:space="preserve">tăng 11%, </w:t>
      </w:r>
      <w:r w:rsidRPr="000B086A">
        <w:rPr>
          <w:szCs w:val="28"/>
          <w:lang w:val="nl-NL"/>
        </w:rPr>
        <w:t>gồm:</w:t>
      </w:r>
    </w:p>
    <w:p w:rsidR="00B42DC8" w:rsidRPr="000B086A" w:rsidRDefault="00B42DC8" w:rsidP="00B42DC8">
      <w:pPr>
        <w:ind w:firstLine="567"/>
        <w:jc w:val="both"/>
        <w:rPr>
          <w:szCs w:val="28"/>
          <w:lang w:val="nl-NL"/>
        </w:rPr>
      </w:pPr>
      <w:r w:rsidRPr="000B086A">
        <w:rPr>
          <w:szCs w:val="28"/>
          <w:lang w:val="nl-NL"/>
        </w:rPr>
        <w:t>- Chi XDCB tập trung trong nước: 1.1</w:t>
      </w:r>
      <w:r>
        <w:rPr>
          <w:szCs w:val="28"/>
          <w:lang w:val="nl-NL"/>
        </w:rPr>
        <w:t>31</w:t>
      </w:r>
      <w:r w:rsidRPr="000B086A">
        <w:rPr>
          <w:szCs w:val="28"/>
          <w:lang w:val="nl-NL"/>
        </w:rPr>
        <w:t xml:space="preserve"> tỷ đồng, tăng </w:t>
      </w:r>
      <w:r>
        <w:rPr>
          <w:szCs w:val="28"/>
          <w:lang w:val="nl-NL"/>
        </w:rPr>
        <w:t>9</w:t>
      </w:r>
      <w:r w:rsidRPr="000B086A">
        <w:rPr>
          <w:szCs w:val="28"/>
          <w:lang w:val="nl-NL"/>
        </w:rPr>
        <w:t>%.</w:t>
      </w:r>
    </w:p>
    <w:p w:rsidR="00B42DC8" w:rsidRPr="000B086A" w:rsidRDefault="00B42DC8" w:rsidP="00B42DC8">
      <w:pPr>
        <w:ind w:firstLine="567"/>
        <w:jc w:val="both"/>
        <w:rPr>
          <w:szCs w:val="28"/>
          <w:lang w:val="nl-NL"/>
        </w:rPr>
      </w:pPr>
      <w:r w:rsidRPr="000B086A">
        <w:rPr>
          <w:szCs w:val="28"/>
          <w:lang w:val="nl-NL"/>
        </w:rPr>
        <w:t xml:space="preserve">- Chi </w:t>
      </w:r>
      <w:r>
        <w:rPr>
          <w:szCs w:val="28"/>
          <w:lang w:val="nl-NL"/>
        </w:rPr>
        <w:t>đầu tư</w:t>
      </w:r>
      <w:r w:rsidRPr="000B086A">
        <w:rPr>
          <w:szCs w:val="28"/>
          <w:lang w:val="nl-NL"/>
        </w:rPr>
        <w:t xml:space="preserve"> từ nguồn thu tiền sử dụng đất: 600 tỷ đồng, tăng 33%.</w:t>
      </w:r>
    </w:p>
    <w:p w:rsidR="00B42DC8" w:rsidRPr="000B086A" w:rsidRDefault="00B42DC8" w:rsidP="00B42DC8">
      <w:pPr>
        <w:ind w:firstLine="567"/>
        <w:jc w:val="both"/>
        <w:rPr>
          <w:szCs w:val="28"/>
          <w:lang w:val="nl-NL"/>
        </w:rPr>
      </w:pPr>
      <w:r w:rsidRPr="000B086A">
        <w:rPr>
          <w:szCs w:val="28"/>
          <w:lang w:val="nl-NL"/>
        </w:rPr>
        <w:t>- Chi đầu tư từ nguồn thu xổ số kiến thiết: 1.460 tỷ đồng, tăng 6%.</w:t>
      </w:r>
    </w:p>
    <w:p w:rsidR="00B42DC8" w:rsidRPr="006A2C65" w:rsidRDefault="00B42DC8" w:rsidP="00B42DC8">
      <w:pPr>
        <w:ind w:firstLine="567"/>
        <w:jc w:val="both"/>
        <w:rPr>
          <w:szCs w:val="28"/>
          <w:lang w:val="nl-NL"/>
        </w:rPr>
      </w:pPr>
      <w:r w:rsidRPr="006A2C65">
        <w:rPr>
          <w:b/>
          <w:szCs w:val="28"/>
          <w:lang w:val="nl-NL"/>
        </w:rPr>
        <w:t>2.</w:t>
      </w:r>
      <w:r w:rsidRPr="006A2C65">
        <w:rPr>
          <w:szCs w:val="28"/>
          <w:lang w:val="nl-NL"/>
        </w:rPr>
        <w:t xml:space="preserve"> Chi thường xuyên: 8.3</w:t>
      </w:r>
      <w:r>
        <w:rPr>
          <w:szCs w:val="28"/>
          <w:lang w:val="nl-NL"/>
        </w:rPr>
        <w:t>74</w:t>
      </w:r>
      <w:r w:rsidRPr="006A2C65">
        <w:rPr>
          <w:szCs w:val="28"/>
          <w:lang w:val="nl-NL"/>
        </w:rPr>
        <w:t xml:space="preserve"> tỷ đồng, tăng 10%, nếu loại trừ các chế độ, chính sách mới tăng thêm theo quy định là 349 tỷ đồng thì dự toán chi thường xuyên 8.0</w:t>
      </w:r>
      <w:r>
        <w:rPr>
          <w:szCs w:val="28"/>
          <w:lang w:val="nl-NL"/>
        </w:rPr>
        <w:t xml:space="preserve">25 </w:t>
      </w:r>
      <w:r w:rsidRPr="006A2C65">
        <w:rPr>
          <w:szCs w:val="28"/>
          <w:lang w:val="nl-NL"/>
        </w:rPr>
        <w:t>tỷ đồng, tăng 5%, bao gồm:</w:t>
      </w:r>
    </w:p>
    <w:p w:rsidR="00B42DC8" w:rsidRPr="000B086A" w:rsidRDefault="00B42DC8" w:rsidP="00B42DC8">
      <w:pPr>
        <w:ind w:firstLine="567"/>
        <w:jc w:val="both"/>
        <w:rPr>
          <w:szCs w:val="28"/>
          <w:lang w:val="nl-NL"/>
        </w:rPr>
      </w:pPr>
      <w:r w:rsidRPr="000B086A">
        <w:rPr>
          <w:szCs w:val="28"/>
          <w:lang w:val="nl-NL"/>
        </w:rPr>
        <w:t>+ Chi sự nghiệp giáo dục, đào tạo và dạy nghề: 3.6</w:t>
      </w:r>
      <w:r>
        <w:rPr>
          <w:szCs w:val="28"/>
          <w:lang w:val="nl-NL"/>
        </w:rPr>
        <w:t>53</w:t>
      </w:r>
      <w:r w:rsidRPr="000B086A">
        <w:rPr>
          <w:szCs w:val="28"/>
          <w:lang w:val="nl-NL"/>
        </w:rPr>
        <w:t xml:space="preserve"> tỷ đồng, tăng 10%, nếu loại trừ các chế độ, chính sách mới tăng thêm theo quy định là 170 tỷ đồng thì dự toán chi sự nghiệp giáo dục, đào tạo 3.4</w:t>
      </w:r>
      <w:r>
        <w:rPr>
          <w:szCs w:val="28"/>
          <w:lang w:val="nl-NL"/>
        </w:rPr>
        <w:t>83</w:t>
      </w:r>
      <w:r w:rsidRPr="000B086A">
        <w:rPr>
          <w:szCs w:val="28"/>
          <w:lang w:val="nl-NL"/>
        </w:rPr>
        <w:t xml:space="preserve"> tỷ đồng, tăng 5%.</w:t>
      </w:r>
    </w:p>
    <w:p w:rsidR="00B42DC8" w:rsidRPr="000B086A" w:rsidRDefault="00B42DC8" w:rsidP="00B42DC8">
      <w:pPr>
        <w:ind w:firstLine="567"/>
        <w:jc w:val="both"/>
        <w:rPr>
          <w:szCs w:val="28"/>
          <w:lang w:val="nl-NL"/>
        </w:rPr>
      </w:pPr>
      <w:r w:rsidRPr="000B086A">
        <w:rPr>
          <w:szCs w:val="28"/>
          <w:lang w:val="nl-NL"/>
        </w:rPr>
        <w:t>+ Chi sự nghiệp khoa học công nghệ: 31 tỷ đồng, tăng 11%.</w:t>
      </w:r>
    </w:p>
    <w:p w:rsidR="00B42DC8" w:rsidRPr="000B086A" w:rsidRDefault="00B42DC8" w:rsidP="00B42DC8">
      <w:pPr>
        <w:ind w:firstLine="567"/>
        <w:jc w:val="both"/>
        <w:rPr>
          <w:szCs w:val="28"/>
          <w:lang w:val="nl-NL"/>
        </w:rPr>
      </w:pPr>
      <w:r w:rsidRPr="000B086A">
        <w:rPr>
          <w:szCs w:val="28"/>
          <w:lang w:val="nl-NL"/>
        </w:rPr>
        <w:t>+ Chi sự nghiệp hoạt động môi trường: 1</w:t>
      </w:r>
      <w:r>
        <w:rPr>
          <w:szCs w:val="28"/>
          <w:lang w:val="nl-NL"/>
        </w:rPr>
        <w:t>43</w:t>
      </w:r>
      <w:r w:rsidRPr="000B086A">
        <w:rPr>
          <w:szCs w:val="28"/>
          <w:lang w:val="nl-NL"/>
        </w:rPr>
        <w:t xml:space="preserve"> tỷ đồng, tăng </w:t>
      </w:r>
      <w:r>
        <w:rPr>
          <w:szCs w:val="28"/>
          <w:lang w:val="nl-NL"/>
        </w:rPr>
        <w:t>10</w:t>
      </w:r>
      <w:r w:rsidRPr="000B086A">
        <w:rPr>
          <w:szCs w:val="28"/>
          <w:lang w:val="nl-NL"/>
        </w:rPr>
        <w:t>%.</w:t>
      </w:r>
    </w:p>
    <w:p w:rsidR="00B42DC8" w:rsidRPr="00FE19B4" w:rsidRDefault="00B42DC8" w:rsidP="00B42DC8">
      <w:pPr>
        <w:ind w:firstLine="567"/>
        <w:jc w:val="both"/>
        <w:rPr>
          <w:szCs w:val="28"/>
          <w:lang w:val="nl-NL"/>
        </w:rPr>
      </w:pPr>
      <w:r w:rsidRPr="00FE19B4">
        <w:rPr>
          <w:szCs w:val="28"/>
          <w:lang w:val="nl-NL"/>
        </w:rPr>
        <w:t>+ Các khoản chi thường xuyên còn lại: 4.5</w:t>
      </w:r>
      <w:r>
        <w:rPr>
          <w:szCs w:val="28"/>
          <w:lang w:val="nl-NL"/>
        </w:rPr>
        <w:t>46</w:t>
      </w:r>
      <w:r w:rsidRPr="00FE19B4">
        <w:rPr>
          <w:szCs w:val="28"/>
          <w:lang w:val="nl-NL"/>
        </w:rPr>
        <w:t xml:space="preserve"> tỷ đồng, tăng 10%, nếu loại trừ các chế độ, chính sách mới tăng thêm theo quy định là 178 tỷ đồng thì dự toán chi thường xuyên còn lại 4.3</w:t>
      </w:r>
      <w:r>
        <w:rPr>
          <w:szCs w:val="28"/>
          <w:lang w:val="nl-NL"/>
        </w:rPr>
        <w:t>68</w:t>
      </w:r>
      <w:r w:rsidRPr="00FE19B4">
        <w:rPr>
          <w:szCs w:val="28"/>
          <w:lang w:val="nl-NL"/>
        </w:rPr>
        <w:t xml:space="preserve"> tỷ đồng, tăng </w:t>
      </w:r>
      <w:r>
        <w:rPr>
          <w:szCs w:val="28"/>
          <w:lang w:val="nl-NL"/>
        </w:rPr>
        <w:t>6</w:t>
      </w:r>
      <w:r w:rsidRPr="00FE19B4">
        <w:rPr>
          <w:szCs w:val="28"/>
          <w:lang w:val="nl-NL"/>
        </w:rPr>
        <w:t>%.</w:t>
      </w:r>
    </w:p>
    <w:p w:rsidR="00B42DC8" w:rsidRPr="00FE19B4" w:rsidRDefault="00B42DC8" w:rsidP="00B42DC8">
      <w:pPr>
        <w:pStyle w:val="BodyTextIndent"/>
        <w:ind w:firstLine="567"/>
        <w:rPr>
          <w:szCs w:val="28"/>
          <w:lang w:val="nl-NL"/>
        </w:rPr>
      </w:pPr>
      <w:r w:rsidRPr="00FE19B4">
        <w:rPr>
          <w:b/>
          <w:szCs w:val="28"/>
          <w:lang w:val="nl-NL"/>
        </w:rPr>
        <w:t>3.</w:t>
      </w:r>
      <w:r w:rsidRPr="00FE19B4">
        <w:rPr>
          <w:szCs w:val="28"/>
          <w:lang w:val="nl-NL"/>
        </w:rPr>
        <w:t xml:space="preserve"> Chi bổ sung Quỹ Dự trữ Tài chính: 2 tỷ đồng, bằng dự toán 2019.</w:t>
      </w:r>
    </w:p>
    <w:p w:rsidR="00B42DC8" w:rsidRPr="00FE19B4" w:rsidRDefault="00B42DC8" w:rsidP="00B42DC8">
      <w:pPr>
        <w:ind w:firstLine="567"/>
        <w:jc w:val="both"/>
        <w:rPr>
          <w:szCs w:val="28"/>
          <w:lang w:val="nl-NL"/>
        </w:rPr>
      </w:pPr>
      <w:r w:rsidRPr="00FE19B4">
        <w:rPr>
          <w:b/>
          <w:szCs w:val="28"/>
          <w:lang w:val="nl-NL"/>
        </w:rPr>
        <w:t>4.</w:t>
      </w:r>
      <w:r w:rsidRPr="00FE19B4">
        <w:rPr>
          <w:szCs w:val="28"/>
          <w:lang w:val="nl-NL"/>
        </w:rPr>
        <w:t xml:space="preserve"> Dự phòng ngân sách: 23</w:t>
      </w:r>
      <w:r>
        <w:rPr>
          <w:szCs w:val="28"/>
          <w:lang w:val="nl-NL"/>
        </w:rPr>
        <w:t>4</w:t>
      </w:r>
      <w:r w:rsidRPr="00FE19B4">
        <w:rPr>
          <w:szCs w:val="28"/>
          <w:lang w:val="nl-NL"/>
        </w:rPr>
        <w:t xml:space="preserve"> tỷ đồng, tăng 1</w:t>
      </w:r>
      <w:r>
        <w:rPr>
          <w:szCs w:val="28"/>
          <w:lang w:val="nl-NL"/>
        </w:rPr>
        <w:t>2</w:t>
      </w:r>
      <w:r w:rsidRPr="00FE19B4">
        <w:rPr>
          <w:szCs w:val="28"/>
          <w:lang w:val="nl-NL"/>
        </w:rPr>
        <w:t>%.</w:t>
      </w:r>
    </w:p>
    <w:p w:rsidR="00B42DC8" w:rsidRPr="00444BE5" w:rsidRDefault="00B42DC8" w:rsidP="00B42DC8">
      <w:pPr>
        <w:ind w:firstLine="567"/>
        <w:jc w:val="both"/>
        <w:rPr>
          <w:szCs w:val="28"/>
          <w:lang w:val="nl-NL"/>
        </w:rPr>
      </w:pPr>
      <w:r w:rsidRPr="00444BE5">
        <w:rPr>
          <w:b/>
          <w:szCs w:val="28"/>
          <w:lang w:val="nl-NL"/>
        </w:rPr>
        <w:t>5.</w:t>
      </w:r>
      <w:r w:rsidRPr="00444BE5">
        <w:rPr>
          <w:szCs w:val="28"/>
          <w:lang w:val="nl-NL"/>
        </w:rPr>
        <w:t xml:space="preserve"> Chi tạo </w:t>
      </w:r>
      <w:bookmarkStart w:id="0" w:name="_GoBack"/>
      <w:bookmarkEnd w:id="0"/>
      <w:r w:rsidRPr="00444BE5">
        <w:rPr>
          <w:szCs w:val="28"/>
          <w:lang w:val="nl-NL"/>
        </w:rPr>
        <w:t>nguồn cải cách tiền lương: 3</w:t>
      </w:r>
      <w:r>
        <w:rPr>
          <w:szCs w:val="28"/>
          <w:lang w:val="nl-NL"/>
        </w:rPr>
        <w:t>79</w:t>
      </w:r>
      <w:r w:rsidRPr="00444BE5">
        <w:rPr>
          <w:szCs w:val="28"/>
          <w:lang w:val="nl-NL"/>
        </w:rPr>
        <w:t xml:space="preserve"> tỷ đồng, chủ yếu của thành phố Cao Lãnh: 34</w:t>
      </w:r>
      <w:r>
        <w:rPr>
          <w:szCs w:val="28"/>
          <w:lang w:val="nl-NL"/>
        </w:rPr>
        <w:t>2</w:t>
      </w:r>
      <w:r w:rsidRPr="00444BE5">
        <w:rPr>
          <w:szCs w:val="28"/>
          <w:lang w:val="nl-NL"/>
        </w:rPr>
        <w:t xml:space="preserve"> tỷ đồng và thành phố Sa Đéc: 3</w:t>
      </w:r>
      <w:r>
        <w:rPr>
          <w:szCs w:val="28"/>
          <w:lang w:val="nl-NL"/>
        </w:rPr>
        <w:t>7</w:t>
      </w:r>
      <w:r w:rsidRPr="00444BE5">
        <w:rPr>
          <w:szCs w:val="28"/>
          <w:lang w:val="nl-NL"/>
        </w:rPr>
        <w:t xml:space="preserve"> tỷ đồng.</w:t>
      </w:r>
    </w:p>
    <w:p w:rsidR="00B42DC8" w:rsidRPr="00F932CD" w:rsidRDefault="00B42DC8" w:rsidP="00B42DC8">
      <w:pPr>
        <w:ind w:firstLine="567"/>
        <w:jc w:val="both"/>
        <w:rPr>
          <w:color w:val="FF0000"/>
          <w:szCs w:val="28"/>
          <w:lang w:val="nl-NL"/>
        </w:rPr>
      </w:pPr>
      <w:r w:rsidRPr="00444BE5">
        <w:rPr>
          <w:b/>
          <w:szCs w:val="28"/>
          <w:lang w:val="nl-NL"/>
        </w:rPr>
        <w:t>6.</w:t>
      </w:r>
      <w:r w:rsidRPr="00444BE5">
        <w:rPr>
          <w:szCs w:val="28"/>
          <w:lang w:val="nl-NL"/>
        </w:rPr>
        <w:t xml:space="preserve"> Chi trả lãi tiền ngân sách cấp tỉnh vay: 1 tỷ đồng.</w:t>
      </w:r>
    </w:p>
    <w:p w:rsidR="00B42DC8" w:rsidRDefault="00B42DC8" w:rsidP="00B42DC8">
      <w:pPr>
        <w:ind w:firstLine="567"/>
        <w:jc w:val="both"/>
        <w:rPr>
          <w:color w:val="FF0000"/>
          <w:szCs w:val="28"/>
          <w:lang w:val="nl-NL"/>
        </w:rPr>
      </w:pPr>
      <w:r w:rsidRPr="00F932CD">
        <w:rPr>
          <w:b/>
          <w:color w:val="FF0000"/>
          <w:lang w:val="nl-NL"/>
        </w:rPr>
        <w:t xml:space="preserve">7. </w:t>
      </w:r>
      <w:r w:rsidRPr="00F932CD">
        <w:rPr>
          <w:color w:val="FF0000"/>
          <w:lang w:val="nl-NL"/>
        </w:rPr>
        <w:t>Chi từ nguồn ngân sách trung ương bổ sung có mục tiêu:</w:t>
      </w:r>
      <w:r>
        <w:rPr>
          <w:color w:val="FF0000"/>
          <w:lang w:val="nl-NL"/>
        </w:rPr>
        <w:t xml:space="preserve"> 1.475 </w:t>
      </w:r>
      <w:r w:rsidRPr="00F932CD">
        <w:rPr>
          <w:color w:val="FF0000"/>
          <w:lang w:val="nl-NL"/>
        </w:rPr>
        <w:t>tỷ đồng,</w:t>
      </w:r>
      <w:r>
        <w:rPr>
          <w:color w:val="FF0000"/>
          <w:lang w:val="nl-NL"/>
        </w:rPr>
        <w:t xml:space="preserve"> tăng 4%,</w:t>
      </w:r>
      <w:r w:rsidRPr="00F932CD">
        <w:rPr>
          <w:color w:val="FF0000"/>
          <w:lang w:val="nl-NL"/>
        </w:rPr>
        <w:t xml:space="preserve"> gồm: Chương trình mục tiêu quốc gia:</w:t>
      </w:r>
      <w:r>
        <w:rPr>
          <w:color w:val="FF0000"/>
          <w:lang w:val="nl-NL"/>
        </w:rPr>
        <w:t xml:space="preserve"> 427 </w:t>
      </w:r>
      <w:r w:rsidRPr="00F932CD">
        <w:rPr>
          <w:color w:val="FF0000"/>
          <w:lang w:val="nl-NL"/>
        </w:rPr>
        <w:t>tỷ đồng; mục tiêu nhiệm vụ quan trọng khác (vốn XDCB):</w:t>
      </w:r>
      <w:r>
        <w:rPr>
          <w:color w:val="FF0000"/>
          <w:lang w:val="nl-NL"/>
        </w:rPr>
        <w:t xml:space="preserve"> 907 </w:t>
      </w:r>
      <w:r w:rsidRPr="00F932CD">
        <w:rPr>
          <w:color w:val="FF0000"/>
          <w:lang w:val="nl-NL"/>
        </w:rPr>
        <w:t xml:space="preserve">tỷ đồng; </w:t>
      </w:r>
      <w:r w:rsidRPr="00F932CD">
        <w:rPr>
          <w:color w:val="FF0000"/>
          <w:szCs w:val="28"/>
          <w:lang w:val="nl-NL"/>
        </w:rPr>
        <w:t>mục tiêu nhiệm vụ quan trọng khác (vốn sự nghiệp):</w:t>
      </w:r>
      <w:r>
        <w:rPr>
          <w:color w:val="FF0000"/>
          <w:szCs w:val="28"/>
          <w:lang w:val="nl-NL"/>
        </w:rPr>
        <w:t xml:space="preserve"> 141 </w:t>
      </w:r>
      <w:r w:rsidRPr="00F932CD">
        <w:rPr>
          <w:color w:val="FF0000"/>
          <w:szCs w:val="28"/>
          <w:lang w:val="nl-NL"/>
        </w:rPr>
        <w:t>tỷ đồng.</w:t>
      </w:r>
    </w:p>
    <w:p w:rsidR="00B42DC8" w:rsidRPr="00F932CD" w:rsidRDefault="00B42DC8" w:rsidP="00B42DC8">
      <w:pPr>
        <w:ind w:firstLine="567"/>
        <w:jc w:val="both"/>
        <w:rPr>
          <w:color w:val="FF0000"/>
          <w:szCs w:val="28"/>
          <w:lang w:val="nl-NL"/>
        </w:rPr>
      </w:pPr>
      <w:r w:rsidRPr="00DF4BA4">
        <w:rPr>
          <w:b/>
          <w:color w:val="FF0000"/>
          <w:szCs w:val="28"/>
          <w:lang w:val="nl-NL"/>
        </w:rPr>
        <w:t>8.</w:t>
      </w:r>
      <w:r>
        <w:rPr>
          <w:color w:val="FF0000"/>
          <w:szCs w:val="28"/>
          <w:lang w:val="nl-NL"/>
        </w:rPr>
        <w:t xml:space="preserve"> </w:t>
      </w:r>
      <w:r w:rsidRPr="00DF4BA4">
        <w:rPr>
          <w:color w:val="FF0000"/>
          <w:szCs w:val="28"/>
          <w:lang w:val="nl-NL"/>
        </w:rPr>
        <w:t>Chi đầu tư từ nguồn vốn Chính phủ vay về cho vay lại</w:t>
      </w:r>
      <w:r>
        <w:rPr>
          <w:color w:val="FF0000"/>
          <w:szCs w:val="28"/>
          <w:lang w:val="nl-NL"/>
        </w:rPr>
        <w:t>: 31 tỷ đồng.</w:t>
      </w:r>
    </w:p>
    <w:p w:rsidR="000D4741" w:rsidRPr="00F932CD" w:rsidRDefault="00B42DC8" w:rsidP="00B42DC8">
      <w:pPr>
        <w:pStyle w:val="BodyTextIndent"/>
        <w:ind w:firstLine="567"/>
        <w:rPr>
          <w:color w:val="FF0000"/>
          <w:szCs w:val="28"/>
          <w:lang w:val="nl-NL"/>
        </w:rPr>
      </w:pPr>
      <w:r w:rsidRPr="00F932CD">
        <w:rPr>
          <w:color w:val="FF0000"/>
          <w:szCs w:val="28"/>
          <w:lang w:val="nl-NL"/>
        </w:rPr>
        <w:t>(Chi tiết theo phụ lục số 2)</w:t>
      </w:r>
    </w:p>
    <w:p w:rsidR="000D4741" w:rsidRPr="00267493" w:rsidRDefault="000D4741" w:rsidP="000D4741">
      <w:pPr>
        <w:pStyle w:val="BodyTextIndent"/>
        <w:spacing w:before="120"/>
        <w:rPr>
          <w:szCs w:val="28"/>
        </w:rPr>
      </w:pPr>
      <w:r w:rsidRPr="00267493">
        <w:rPr>
          <w:b/>
          <w:szCs w:val="28"/>
        </w:rPr>
        <w:t>Tóm lại,</w:t>
      </w:r>
      <w:r w:rsidRPr="00267493">
        <w:rPr>
          <w:szCs w:val="28"/>
        </w:rPr>
        <w:t xml:space="preserve"> dự toán NSNN năm 2020 như trình bày ở trên đã đạt được một số mục tiêu sau:</w:t>
      </w:r>
    </w:p>
    <w:p w:rsidR="000D4741" w:rsidRPr="00267493" w:rsidRDefault="000D4741" w:rsidP="000D4741">
      <w:pPr>
        <w:jc w:val="both"/>
        <w:rPr>
          <w:szCs w:val="28"/>
        </w:rPr>
      </w:pPr>
      <w:r w:rsidRPr="00267493">
        <w:rPr>
          <w:szCs w:val="28"/>
        </w:rPr>
        <w:tab/>
      </w:r>
      <w:r w:rsidRPr="00267493">
        <w:rPr>
          <w:b/>
          <w:szCs w:val="28"/>
        </w:rPr>
        <w:t>-</w:t>
      </w:r>
      <w:r w:rsidRPr="00267493">
        <w:rPr>
          <w:szCs w:val="28"/>
        </w:rPr>
        <w:t xml:space="preserve"> Dự toán thu đúng chế độ thu ngân sách và căn cứ tình hình ước thực hiện thu ngân sách năm 2019; tốc độ phát triển kinh tế-xã hội từng huyện, thị xã, thành phố; phù hợp với phân cấp ngân sách. </w:t>
      </w:r>
    </w:p>
    <w:p w:rsidR="000D4741" w:rsidRPr="00267493" w:rsidRDefault="000D4741" w:rsidP="000D4741">
      <w:pPr>
        <w:jc w:val="both"/>
        <w:rPr>
          <w:szCs w:val="28"/>
        </w:rPr>
      </w:pPr>
      <w:r w:rsidRPr="00267493">
        <w:rPr>
          <w:szCs w:val="28"/>
        </w:rPr>
        <w:tab/>
      </w:r>
      <w:r w:rsidRPr="00267493">
        <w:rPr>
          <w:b/>
          <w:szCs w:val="28"/>
        </w:rPr>
        <w:t>-</w:t>
      </w:r>
      <w:r w:rsidRPr="00267493">
        <w:rPr>
          <w:szCs w:val="28"/>
        </w:rPr>
        <w:t xml:space="preserve"> Dự toán chi theo quy định của Luật ngân sách nhà nước, phân cấp ngân sách, định mức phân bổ dự toán chi, đảm bảo kinh phí thực hiện những chính sách phát triển kinh tế-xã hội của địa phương.</w:t>
      </w:r>
    </w:p>
    <w:p w:rsidR="000D4741" w:rsidRPr="00267493" w:rsidRDefault="000D4741" w:rsidP="000D4741">
      <w:pPr>
        <w:pStyle w:val="BodyText"/>
        <w:spacing w:before="0"/>
        <w:rPr>
          <w:szCs w:val="28"/>
        </w:rPr>
      </w:pPr>
      <w:r w:rsidRPr="00267493">
        <w:rPr>
          <w:szCs w:val="28"/>
        </w:rPr>
        <w:lastRenderedPageBreak/>
        <w:tab/>
      </w:r>
      <w:r w:rsidRPr="00267493">
        <w:rPr>
          <w:b/>
          <w:szCs w:val="28"/>
        </w:rPr>
        <w:t>-</w:t>
      </w:r>
      <w:r w:rsidRPr="00267493">
        <w:rPr>
          <w:szCs w:val="28"/>
        </w:rPr>
        <w:t xml:space="preserve"> Mức bố trí dự toán chi đối với từng sở, ban, ngành, Đảng, đoàn thể cấp Tỉnh và từng huyện, thị xã, thành phố quán triệt yêu cầu tiết kiệm, đòi hỏi việc quản lý, sử dụng phải đúng chính sách, chế độ, tập trung kinh phí thực hiện nhiệm vụ quan trọng, chống lãng phí.</w:t>
      </w:r>
    </w:p>
    <w:p w:rsidR="000D4741" w:rsidRPr="00267493" w:rsidRDefault="000D4741" w:rsidP="000D4741">
      <w:pPr>
        <w:pStyle w:val="BodyTextIndent"/>
        <w:ind w:firstLine="567"/>
        <w:rPr>
          <w:b/>
          <w:szCs w:val="28"/>
          <w:lang w:val="nl-NL"/>
        </w:rPr>
      </w:pPr>
      <w:r w:rsidRPr="00267493">
        <w:rPr>
          <w:szCs w:val="28"/>
        </w:rPr>
        <w:tab/>
      </w:r>
      <w:r w:rsidRPr="00267493">
        <w:rPr>
          <w:b/>
          <w:szCs w:val="28"/>
        </w:rPr>
        <w:t>-</w:t>
      </w:r>
      <w:r w:rsidRPr="00267493">
        <w:rPr>
          <w:szCs w:val="28"/>
        </w:rPr>
        <w:t xml:space="preserve"> Dự toán ngân sách nhà nước đã tăng tính công khai, minh bạch, công bằng trong phân bổ các nguồn lực, tăng cường quản lý qua ngân sách nhà nước.</w:t>
      </w:r>
    </w:p>
    <w:p w:rsidR="000D4741" w:rsidRPr="00267493" w:rsidRDefault="000D4741" w:rsidP="000D4741">
      <w:pPr>
        <w:ind w:firstLine="567"/>
        <w:jc w:val="both"/>
        <w:rPr>
          <w:b/>
          <w:szCs w:val="28"/>
          <w:lang w:val="fr-FR"/>
        </w:rPr>
      </w:pPr>
      <w:r w:rsidRPr="00267493">
        <w:rPr>
          <w:b/>
          <w:szCs w:val="28"/>
          <w:lang w:val="fr-FR"/>
        </w:rPr>
        <w:t>C. Một số giải pháp chủ yếu thực hiện thắng lợi nhiệm vụ tài chính- ngân sách năm 2020</w:t>
      </w:r>
    </w:p>
    <w:p w:rsidR="000D4741" w:rsidRPr="00267493" w:rsidRDefault="000D4741" w:rsidP="000D4741">
      <w:pPr>
        <w:ind w:firstLine="567"/>
        <w:jc w:val="both"/>
        <w:rPr>
          <w:szCs w:val="28"/>
          <w:lang w:val="nl-NL"/>
        </w:rPr>
      </w:pPr>
      <w:r w:rsidRPr="00267493">
        <w:rPr>
          <w:b/>
          <w:szCs w:val="28"/>
          <w:lang w:val="nl-NL"/>
        </w:rPr>
        <w:t>1.</w:t>
      </w:r>
      <w:r w:rsidRPr="00267493">
        <w:rPr>
          <w:szCs w:val="28"/>
          <w:lang w:val="nl-NL"/>
        </w:rPr>
        <w:t xml:space="preserve"> Công khai, minh bạch trong quản lý, điều hành ngân sách các cấp. </w:t>
      </w:r>
    </w:p>
    <w:p w:rsidR="000D4741" w:rsidRPr="00267493" w:rsidRDefault="000D4741" w:rsidP="000D4741">
      <w:pPr>
        <w:ind w:firstLine="567"/>
        <w:jc w:val="both"/>
        <w:rPr>
          <w:szCs w:val="28"/>
          <w:lang w:val="nl-NL"/>
        </w:rPr>
      </w:pPr>
      <w:r w:rsidRPr="00267493">
        <w:rPr>
          <w:b/>
          <w:szCs w:val="28"/>
          <w:lang w:val="nl-NL"/>
        </w:rPr>
        <w:t>2.</w:t>
      </w:r>
      <w:r w:rsidRPr="00267493">
        <w:rPr>
          <w:szCs w:val="28"/>
          <w:lang w:val="nl-NL"/>
        </w:rPr>
        <w:t xml:space="preserve"> Theo dõi sát tình hình hoạt động của doanh nghiệp, kịp thời xử lý các vướng mắc phát sinh, tạo thuận lợi cho các thành phần kinh tế phát triển.</w:t>
      </w:r>
    </w:p>
    <w:p w:rsidR="000D4741" w:rsidRPr="00267493" w:rsidRDefault="000D4741" w:rsidP="000D4741">
      <w:pPr>
        <w:ind w:firstLine="567"/>
        <w:jc w:val="both"/>
        <w:rPr>
          <w:szCs w:val="28"/>
          <w:lang w:val="nl-NL"/>
        </w:rPr>
      </w:pPr>
      <w:r w:rsidRPr="00267493">
        <w:rPr>
          <w:b/>
          <w:szCs w:val="28"/>
          <w:lang w:val="nl-NL"/>
        </w:rPr>
        <w:t>3.</w:t>
      </w:r>
      <w:r w:rsidRPr="00267493">
        <w:rPr>
          <w:szCs w:val="28"/>
          <w:lang w:val="nl-NL"/>
        </w:rPr>
        <w:t xml:space="preserve"> Chủ động phối hợp chặt chẽ với các ngành, các cấp để tháo gở kịp thời những khó khăn của nhà đầu tư trong lĩnh vực giá đất, giúp nhà đầu tư sớm triển khai các dự án đầu tư trên địa bàn tỉnh.</w:t>
      </w:r>
    </w:p>
    <w:p w:rsidR="000D4741" w:rsidRPr="00267493" w:rsidRDefault="000D4741" w:rsidP="000D4741">
      <w:pPr>
        <w:ind w:firstLine="567"/>
        <w:jc w:val="both"/>
        <w:rPr>
          <w:szCs w:val="28"/>
          <w:lang w:val="nl-NL"/>
        </w:rPr>
      </w:pPr>
      <w:r w:rsidRPr="00267493">
        <w:rPr>
          <w:b/>
          <w:szCs w:val="28"/>
          <w:lang w:val="nl-NL"/>
        </w:rPr>
        <w:t>4.</w:t>
      </w:r>
      <w:r w:rsidRPr="00267493">
        <w:rPr>
          <w:szCs w:val="28"/>
          <w:lang w:val="nl-NL"/>
        </w:rPr>
        <w:t xml:space="preserve"> Phối hợp trong tháo gỡ khó khăn lĩnh vực đầu tư phát triển từ nguồn vốn ngân sách nhà nước, nhằm đẩy nhanh tiến độ giải ngân, sớm phát huy hiệu quả công trình. Đẩy nhanh công tác quyết toán vốn đầu tư, kiên quyết chế tài các chủ đầu tư chậm thực hiện công tác này.</w:t>
      </w:r>
    </w:p>
    <w:p w:rsidR="000D4741" w:rsidRPr="00267493" w:rsidRDefault="000D4741" w:rsidP="000D4741">
      <w:pPr>
        <w:ind w:firstLine="567"/>
        <w:jc w:val="both"/>
        <w:rPr>
          <w:szCs w:val="28"/>
          <w:lang w:val="nl-NL"/>
        </w:rPr>
      </w:pPr>
      <w:r w:rsidRPr="00267493">
        <w:rPr>
          <w:b/>
          <w:szCs w:val="28"/>
          <w:lang w:val="nl-NL"/>
        </w:rPr>
        <w:t>5.</w:t>
      </w:r>
      <w:r w:rsidRPr="00267493">
        <w:rPr>
          <w:szCs w:val="28"/>
          <w:lang w:val="nl-NL"/>
        </w:rPr>
        <w:t xml:space="preserve"> Chủ động dự báo và phân tích các yếu tố tác động đến công tác thu ngân sách nhà nước để tham mưu các cấp lãnh đạo phương án điều hành ngân sách phù hợp.</w:t>
      </w:r>
    </w:p>
    <w:p w:rsidR="000D4741" w:rsidRDefault="000D4741" w:rsidP="000D4741">
      <w:pPr>
        <w:ind w:firstLine="567"/>
        <w:jc w:val="both"/>
        <w:rPr>
          <w:szCs w:val="28"/>
          <w:lang w:val="nl-NL"/>
        </w:rPr>
      </w:pPr>
      <w:r w:rsidRPr="00267493">
        <w:rPr>
          <w:b/>
          <w:szCs w:val="28"/>
          <w:lang w:val="nl-NL"/>
        </w:rPr>
        <w:t>6.</w:t>
      </w:r>
      <w:r w:rsidRPr="00267493">
        <w:rPr>
          <w:szCs w:val="28"/>
          <w:lang w:val="nl-NL"/>
        </w:rPr>
        <w:t xml:space="preserve"> Phối hợp chặt chẽ với các ngành, các cấp kiểm tra, giám sát chặt chẽ việc thực hiện quy định về quản lý giá đối với những mặt hàng thuộc nhà nước định giá, mặt hàng thực hiện bình ổn giá, những mặt hàng thiết yếu cho sản xuất và đời sống.</w:t>
      </w:r>
    </w:p>
    <w:p w:rsidR="000D4741" w:rsidRPr="00713431" w:rsidRDefault="000D4741" w:rsidP="000D4741">
      <w:pPr>
        <w:spacing w:before="240"/>
        <w:ind w:firstLine="567"/>
        <w:jc w:val="both"/>
        <w:rPr>
          <w:b/>
          <w:szCs w:val="28"/>
          <w:lang w:val="nl-NL"/>
        </w:rPr>
      </w:pPr>
      <w:r w:rsidRPr="00713431">
        <w:rPr>
          <w:b/>
          <w:szCs w:val="28"/>
          <w:lang w:val="nl-NL"/>
        </w:rPr>
        <w:t>D. Kế hoạch tài chính - ngân sách nhà nước 03 năm 2020-2022:</w:t>
      </w:r>
    </w:p>
    <w:p w:rsidR="000D4741" w:rsidRPr="00713431" w:rsidRDefault="000D4741" w:rsidP="000D4741">
      <w:pPr>
        <w:pStyle w:val="BodyTextIndent2"/>
        <w:ind w:firstLine="567"/>
        <w:rPr>
          <w:rFonts w:ascii="Times New Roman" w:hAnsi="Times New Roman"/>
          <w:b w:val="0"/>
          <w:szCs w:val="28"/>
          <w:u w:val="none"/>
        </w:rPr>
      </w:pPr>
      <w:r w:rsidRPr="00713431">
        <w:rPr>
          <w:rFonts w:ascii="Times New Roman" w:hAnsi="Times New Roman"/>
          <w:b w:val="0"/>
          <w:szCs w:val="28"/>
          <w:u w:val="none"/>
        </w:rPr>
        <w:t>Kế hoạch thu NSNN 03 năm 2020-2022 được lập trên cơ sở dự toán thu NSNN năm 2020 và mức tăng trưởng thu dự kiến cho năm 2021, năm 2022 theo kết quả làm việc với Tổng Cục thuế (Bộ Tài Chính); đảm bảo nguyên tắc mọi khoản thu từ thuế, phí, lệ phí và các khoản thu khác theo quy định phải được tổng hợp, phản ánh đầy đủ vào cân đối NSNN theo quy định của Luật NSNN.</w:t>
      </w:r>
    </w:p>
    <w:p w:rsidR="000D4741" w:rsidRPr="00713431" w:rsidRDefault="000D4741" w:rsidP="000D4741">
      <w:pPr>
        <w:pStyle w:val="BodyTextIndent2"/>
        <w:ind w:firstLine="567"/>
        <w:rPr>
          <w:rFonts w:ascii="Times New Roman" w:hAnsi="Times New Roman"/>
          <w:b w:val="0"/>
          <w:szCs w:val="28"/>
          <w:u w:val="none"/>
        </w:rPr>
      </w:pPr>
      <w:r w:rsidRPr="00713431">
        <w:rPr>
          <w:rFonts w:ascii="Times New Roman" w:hAnsi="Times New Roman"/>
          <w:b w:val="0"/>
          <w:szCs w:val="28"/>
          <w:u w:val="none"/>
        </w:rPr>
        <w:t>Trên cơ sở đó, phấn đấu năm 2021, năm 2022 tỷ lệ huy động từ thuế, phí vào NSNN so với GRDP bình quân khoảng 10%/năm; loại trừ yếu tố thay đổi chính sách, thu nội địa (không kể thu tiền sử dụng đất, thu xổ số kiến thiết) tăng bình quân tối thiểu 8%/năm, thu từ hoạt động xuất nhập khẩu tăng bình quân 5%/năm. Mức tăng thu này phù hợp với tốc độ tăng trưởng kinh tế của địa phương.</w:t>
      </w:r>
    </w:p>
    <w:p w:rsidR="000D4741" w:rsidRPr="00713431" w:rsidRDefault="000D4741" w:rsidP="000D4741">
      <w:pPr>
        <w:pStyle w:val="BodyTextIndent2"/>
        <w:ind w:firstLine="567"/>
        <w:rPr>
          <w:rFonts w:ascii="Times New Roman" w:hAnsi="Times New Roman"/>
          <w:b w:val="0"/>
          <w:szCs w:val="28"/>
          <w:u w:val="none"/>
        </w:rPr>
      </w:pPr>
      <w:r w:rsidRPr="00713431">
        <w:rPr>
          <w:rFonts w:ascii="Times New Roman" w:hAnsi="Times New Roman"/>
          <w:b w:val="0"/>
          <w:szCs w:val="28"/>
          <w:u w:val="none"/>
        </w:rPr>
        <w:t>Xác định số thu NSĐP 03 năm 2020-2022 được hưởng theo phân cấp trên cơ sở quy định của Luật NSNN và các văn bản hướng dẫn. Riêng đối với khoản thu thuế bảo vệ môi trường đối với xăng dầu sản xuất trong nước và nhập khẩu tạm xác định theo tỷ lệ của năm 2020.</w:t>
      </w:r>
    </w:p>
    <w:p w:rsidR="000D4741" w:rsidRPr="00713431" w:rsidRDefault="000D4741" w:rsidP="000D4741">
      <w:pPr>
        <w:pStyle w:val="BodyTextIndent2"/>
        <w:ind w:firstLine="567"/>
        <w:rPr>
          <w:rFonts w:ascii="Times New Roman" w:hAnsi="Times New Roman"/>
          <w:b w:val="0"/>
          <w:szCs w:val="28"/>
          <w:u w:val="none"/>
        </w:rPr>
      </w:pPr>
      <w:r w:rsidRPr="00713431">
        <w:rPr>
          <w:rFonts w:ascii="Times New Roman" w:hAnsi="Times New Roman"/>
          <w:b w:val="0"/>
          <w:szCs w:val="28"/>
          <w:u w:val="none"/>
        </w:rPr>
        <w:t xml:space="preserve">Trên cơ sở dự kiến nguồn thu trên địa bàn 03 năm 2020-2022, nguồn thu của địa phương theo chế độ phân cấp, trần bổ sung cân đối ngân sách từ NSTW cho NSĐP do Bộ Tài chính thông báo trong 03 năm 2020 – 2022 được ổn định như năm 2017; các mục tiêu, nhiệm vụ kinh tế - xã hội năm 2021, năm 2022 do Bộ Kế hoạch &amp; Đầu tư thông báo; dự toán chi NSĐP năm 2020, kế hoạch chi NSĐP năm 2021 và năm 2022, đảm bảo ưu tiên bố trí đủ kinh phí thực hiện các chế độ, chính sách, nhiệm vụ đã được ban hành và cam kết chi; xác định nhu cầu bổ sung có mục tiêu từ NSTW đối với các </w:t>
      </w:r>
      <w:r w:rsidRPr="00713431">
        <w:rPr>
          <w:rFonts w:ascii="Times New Roman" w:hAnsi="Times New Roman"/>
          <w:b w:val="0"/>
          <w:szCs w:val="28"/>
          <w:u w:val="none"/>
        </w:rPr>
        <w:lastRenderedPageBreak/>
        <w:t xml:space="preserve">chế độ, chính sách của Trung ương cho từng năm của giai đoạn 2020-2022 theo quy định tại Quyết định số </w:t>
      </w:r>
      <w:hyperlink r:id="rId6" w:tgtFrame="_blank" w:history="1">
        <w:r w:rsidRPr="00713431">
          <w:rPr>
            <w:rFonts w:ascii="Times New Roman" w:hAnsi="Times New Roman"/>
            <w:b w:val="0"/>
            <w:szCs w:val="28"/>
            <w:u w:val="none"/>
          </w:rPr>
          <w:t>579/QĐ-TTg;</w:t>
        </w:r>
      </w:hyperlink>
      <w:r w:rsidRPr="00713431">
        <w:rPr>
          <w:rFonts w:ascii="Times New Roman" w:hAnsi="Times New Roman"/>
          <w:b w:val="0"/>
          <w:szCs w:val="28"/>
          <w:u w:val="none"/>
        </w:rPr>
        <w:t> đối với các nhiệm vụ chi mới của địa phương trong từng năm của giai đoạn 2020-2022, bố trí theo thứ tự ưu tiên để thực hiện các mục tiêu, nhiệm vụ kinh tế - xã hội trọng tâm của địa phương, trong phạm vi khả năng nguồn lực từng năm 2020-2022.</w:t>
      </w:r>
    </w:p>
    <w:p w:rsidR="000D4741" w:rsidRPr="00713431" w:rsidRDefault="000D4741" w:rsidP="000D4741">
      <w:pPr>
        <w:pStyle w:val="BodyTextIndent2"/>
        <w:ind w:firstLine="567"/>
        <w:rPr>
          <w:rFonts w:ascii="Times New Roman" w:hAnsi="Times New Roman"/>
          <w:b w:val="0"/>
          <w:szCs w:val="28"/>
          <w:u w:val="none"/>
        </w:rPr>
      </w:pPr>
      <w:r w:rsidRPr="00713431">
        <w:rPr>
          <w:rFonts w:ascii="Times New Roman" w:hAnsi="Times New Roman"/>
          <w:b w:val="0"/>
          <w:szCs w:val="28"/>
          <w:u w:val="none"/>
        </w:rPr>
        <w:t>Chủ động bố trí các nguồn tiết kiệm 10% chi thường xuyên (không kể tiền lương và các khoản có tính chất tiền lương); 50% tăng thu NSĐP hằng năm theo chế độ, số thu được để lại theo chế độ phù hợp với lộ trình kết cấu chi phí vào giá, phí dịch vụ sự nghiệp công theo Nghị định số</w:t>
      </w:r>
      <w:hyperlink r:id="rId7" w:tgtFrame="_blank" w:history="1">
        <w:r w:rsidRPr="00713431">
          <w:rPr>
            <w:rFonts w:ascii="Times New Roman" w:hAnsi="Times New Roman"/>
            <w:b w:val="0"/>
            <w:szCs w:val="28"/>
            <w:u w:val="none"/>
          </w:rPr>
          <w:t> 16/NĐ-CP</w:t>
        </w:r>
      </w:hyperlink>
      <w:r w:rsidRPr="00713431">
        <w:rPr>
          <w:rFonts w:ascii="Times New Roman" w:hAnsi="Times New Roman"/>
          <w:b w:val="0"/>
          <w:szCs w:val="28"/>
          <w:u w:val="none"/>
        </w:rPr>
        <w:t> để thực hiện cải cách tiền lương theo quy định.</w:t>
      </w:r>
    </w:p>
    <w:p w:rsidR="000D4741" w:rsidRPr="00713431" w:rsidRDefault="000D4741" w:rsidP="000D4741">
      <w:pPr>
        <w:pStyle w:val="BodyTextIndent2"/>
        <w:ind w:firstLine="567"/>
        <w:rPr>
          <w:rFonts w:ascii="Times New Roman" w:hAnsi="Times New Roman"/>
          <w:b w:val="0"/>
          <w:szCs w:val="28"/>
          <w:u w:val="none"/>
        </w:rPr>
      </w:pPr>
      <w:r w:rsidRPr="00713431">
        <w:rPr>
          <w:rFonts w:ascii="Times New Roman" w:hAnsi="Times New Roman"/>
          <w:b w:val="0"/>
          <w:szCs w:val="28"/>
          <w:u w:val="none"/>
        </w:rPr>
        <w:t>(Chi tiết số liệu kế hoạch tài chính – NSNN 03 năm 2020-2022 đính kèm)</w:t>
      </w:r>
    </w:p>
    <w:p w:rsidR="00C536ED" w:rsidRPr="00267493" w:rsidRDefault="000D4741" w:rsidP="000D4741">
      <w:pPr>
        <w:ind w:firstLine="567"/>
        <w:jc w:val="both"/>
        <w:rPr>
          <w:szCs w:val="28"/>
        </w:rPr>
      </w:pPr>
      <w:r w:rsidRPr="00713431">
        <w:rPr>
          <w:szCs w:val="28"/>
          <w:lang w:val="nl-NL"/>
        </w:rPr>
        <w:t>Trên đây là báo cáo đánh giá ước thực hiện thu chi ngân sách nhà nước năm 2019; dự toán ngân sách nhà nước năm 2020 và Kế hoach tài chính - ngân sách nhà nước 03 năm 2020-2022.</w:t>
      </w:r>
    </w:p>
    <w:p w:rsidR="007B7C2D" w:rsidRPr="00267493" w:rsidRDefault="007B7C2D" w:rsidP="006A39A3">
      <w:pPr>
        <w:pStyle w:val="BodyText"/>
        <w:spacing w:before="240"/>
        <w:ind w:firstLine="720"/>
        <w:rPr>
          <w:szCs w:val="28"/>
          <w:lang w:val="fr-FR"/>
        </w:rPr>
      </w:pPr>
      <w:r w:rsidRPr="00267493">
        <w:rPr>
          <w:szCs w:val="28"/>
          <w:lang w:val="fr-FR"/>
        </w:rPr>
        <w:t>Kính trình Hội đồng nhân dân Tỉnh xem xét và cho thông qua./.</w:t>
      </w:r>
    </w:p>
    <w:p w:rsidR="00923A69" w:rsidRPr="00F932CD" w:rsidRDefault="00923A69" w:rsidP="00923A69">
      <w:pPr>
        <w:pStyle w:val="BodyText"/>
        <w:spacing w:before="0"/>
        <w:ind w:firstLine="720"/>
        <w:rPr>
          <w:szCs w:val="28"/>
          <w:lang w:val="fr-FR"/>
        </w:rPr>
      </w:pPr>
    </w:p>
    <w:tbl>
      <w:tblPr>
        <w:tblW w:w="9807" w:type="dxa"/>
        <w:tblInd w:w="-34" w:type="dxa"/>
        <w:tblLayout w:type="fixed"/>
        <w:tblLook w:val="0000" w:firstRow="0" w:lastRow="0" w:firstColumn="0" w:lastColumn="0" w:noHBand="0" w:noVBand="0"/>
      </w:tblPr>
      <w:tblGrid>
        <w:gridCol w:w="4050"/>
        <w:gridCol w:w="5757"/>
      </w:tblGrid>
      <w:tr w:rsidR="00C13670" w:rsidRPr="00F932CD">
        <w:trPr>
          <w:trHeight w:val="130"/>
        </w:trPr>
        <w:tc>
          <w:tcPr>
            <w:tcW w:w="4050" w:type="dxa"/>
          </w:tcPr>
          <w:p w:rsidR="00C13670" w:rsidRPr="00F932CD" w:rsidRDefault="00C13670" w:rsidP="00AE18BB">
            <w:pPr>
              <w:rPr>
                <w:b/>
                <w:sz w:val="24"/>
              </w:rPr>
            </w:pPr>
            <w:r w:rsidRPr="00F932CD">
              <w:rPr>
                <w:b/>
                <w:i/>
                <w:sz w:val="24"/>
              </w:rPr>
              <w:t>Nơi nhận:</w:t>
            </w:r>
          </w:p>
        </w:tc>
        <w:tc>
          <w:tcPr>
            <w:tcW w:w="5757" w:type="dxa"/>
          </w:tcPr>
          <w:p w:rsidR="00C13670" w:rsidRPr="00F932CD" w:rsidRDefault="00C13670" w:rsidP="00AE18BB">
            <w:pPr>
              <w:pStyle w:val="Heading3"/>
              <w:rPr>
                <w:sz w:val="26"/>
                <w:szCs w:val="26"/>
              </w:rPr>
            </w:pPr>
            <w:r w:rsidRPr="00F932CD">
              <w:rPr>
                <w:sz w:val="26"/>
                <w:szCs w:val="26"/>
                <w:lang w:val="fr-FR"/>
              </w:rPr>
              <w:t>TM. UỶ BAN NHÂN DÂN</w:t>
            </w:r>
          </w:p>
        </w:tc>
      </w:tr>
      <w:tr w:rsidR="00C13670" w:rsidRPr="00F932CD">
        <w:trPr>
          <w:cantSplit/>
          <w:trHeight w:val="761"/>
        </w:trPr>
        <w:tc>
          <w:tcPr>
            <w:tcW w:w="4050" w:type="dxa"/>
            <w:vMerge w:val="restart"/>
          </w:tcPr>
          <w:p w:rsidR="00C13670" w:rsidRPr="00F932CD" w:rsidRDefault="00C13670" w:rsidP="00C13670">
            <w:pPr>
              <w:rPr>
                <w:sz w:val="24"/>
              </w:rPr>
            </w:pPr>
            <w:r w:rsidRPr="00F932CD">
              <w:rPr>
                <w:sz w:val="24"/>
              </w:rPr>
              <w:t>- HĐND Tỉnh;</w:t>
            </w:r>
            <w:r w:rsidRPr="00F932CD">
              <w:rPr>
                <w:sz w:val="24"/>
              </w:rPr>
              <w:tab/>
            </w:r>
            <w:r w:rsidRPr="00F932CD">
              <w:rPr>
                <w:sz w:val="24"/>
              </w:rPr>
              <w:tab/>
            </w:r>
            <w:r w:rsidRPr="00F932CD">
              <w:rPr>
                <w:sz w:val="24"/>
              </w:rPr>
              <w:tab/>
            </w:r>
          </w:p>
          <w:p w:rsidR="00C13670" w:rsidRPr="00F932CD" w:rsidRDefault="00C13670" w:rsidP="00C13670">
            <w:pPr>
              <w:rPr>
                <w:sz w:val="24"/>
              </w:rPr>
            </w:pPr>
            <w:r w:rsidRPr="00F932CD">
              <w:rPr>
                <w:sz w:val="24"/>
              </w:rPr>
              <w:t>- Các vị Đại biểu HĐND Tỉnh;</w:t>
            </w:r>
          </w:p>
          <w:p w:rsidR="00C13670" w:rsidRPr="00F932CD" w:rsidRDefault="00C13670" w:rsidP="00C13670">
            <w:pPr>
              <w:rPr>
                <w:sz w:val="24"/>
              </w:rPr>
            </w:pPr>
            <w:r w:rsidRPr="00F932CD">
              <w:rPr>
                <w:sz w:val="24"/>
              </w:rPr>
              <w:t>- Ban KTNS HĐND Tỉnh;</w:t>
            </w:r>
          </w:p>
          <w:p w:rsidR="00C13670" w:rsidRPr="00F932CD" w:rsidRDefault="00C13670" w:rsidP="00C13670">
            <w:pPr>
              <w:rPr>
                <w:sz w:val="24"/>
              </w:rPr>
            </w:pPr>
            <w:r w:rsidRPr="00F932CD">
              <w:rPr>
                <w:sz w:val="24"/>
              </w:rPr>
              <w:t>- CT, Các PCT UBND Tỉnh;</w:t>
            </w:r>
          </w:p>
          <w:p w:rsidR="00C13670" w:rsidRPr="00F932CD" w:rsidRDefault="00C13670" w:rsidP="00834F10">
            <w:pPr>
              <w:rPr>
                <w:sz w:val="22"/>
              </w:rPr>
            </w:pPr>
            <w:r w:rsidRPr="00F932CD">
              <w:rPr>
                <w:sz w:val="24"/>
              </w:rPr>
              <w:t>- Lưu V</w:t>
            </w:r>
            <w:r w:rsidR="00834F10">
              <w:rPr>
                <w:sz w:val="24"/>
              </w:rPr>
              <w:t>T</w:t>
            </w:r>
            <w:r w:rsidRPr="00F932CD">
              <w:rPr>
                <w:sz w:val="24"/>
              </w:rPr>
              <w:t>, NC/KT</w:t>
            </w:r>
            <w:r w:rsidR="002E2435" w:rsidRPr="00F932CD">
              <w:rPr>
                <w:sz w:val="24"/>
              </w:rPr>
              <w:t>.</w:t>
            </w:r>
          </w:p>
        </w:tc>
        <w:tc>
          <w:tcPr>
            <w:tcW w:w="5757" w:type="dxa"/>
          </w:tcPr>
          <w:p w:rsidR="00C13670" w:rsidRPr="00F932CD" w:rsidRDefault="00C13670" w:rsidP="00AE18BB">
            <w:pPr>
              <w:jc w:val="center"/>
              <w:rPr>
                <w:b/>
                <w:sz w:val="26"/>
                <w:szCs w:val="26"/>
              </w:rPr>
            </w:pPr>
            <w:r w:rsidRPr="00F932CD">
              <w:rPr>
                <w:b/>
                <w:sz w:val="26"/>
                <w:szCs w:val="26"/>
              </w:rPr>
              <w:t>CHỦ TỊCH</w:t>
            </w:r>
          </w:p>
        </w:tc>
      </w:tr>
      <w:tr w:rsidR="00C13670" w:rsidRPr="00F932CD">
        <w:trPr>
          <w:cantSplit/>
          <w:trHeight w:val="2133"/>
        </w:trPr>
        <w:tc>
          <w:tcPr>
            <w:tcW w:w="4050" w:type="dxa"/>
            <w:vMerge/>
          </w:tcPr>
          <w:p w:rsidR="00C13670" w:rsidRPr="00F932CD" w:rsidRDefault="00C13670" w:rsidP="00AE18BB">
            <w:pPr>
              <w:rPr>
                <w:sz w:val="22"/>
              </w:rPr>
            </w:pPr>
          </w:p>
        </w:tc>
        <w:tc>
          <w:tcPr>
            <w:tcW w:w="5757" w:type="dxa"/>
          </w:tcPr>
          <w:p w:rsidR="00C13670" w:rsidRPr="00F932CD" w:rsidRDefault="00C13670" w:rsidP="00AE18BB">
            <w:pPr>
              <w:pStyle w:val="Heading5"/>
              <w:rPr>
                <w:sz w:val="26"/>
                <w:szCs w:val="26"/>
              </w:rPr>
            </w:pPr>
          </w:p>
        </w:tc>
      </w:tr>
    </w:tbl>
    <w:p w:rsidR="00817D71" w:rsidRPr="00F932CD" w:rsidRDefault="007B7C2D" w:rsidP="007B7C2D">
      <w:pPr>
        <w:pStyle w:val="BodyText2"/>
        <w:tabs>
          <w:tab w:val="center" w:pos="7140"/>
        </w:tabs>
        <w:rPr>
          <w:rFonts w:ascii="Times New Roman" w:hAnsi="Times New Roman"/>
          <w:b w:val="0"/>
          <w:sz w:val="24"/>
          <w:szCs w:val="24"/>
        </w:rPr>
      </w:pPr>
      <w:r w:rsidRPr="00F932CD">
        <w:rPr>
          <w:rFonts w:ascii="Times New Roman" w:hAnsi="Times New Roman"/>
          <w:lang w:val="fr-FR"/>
        </w:rPr>
        <w:tab/>
      </w:r>
      <w:r w:rsidRPr="00F932CD">
        <w:rPr>
          <w:rFonts w:ascii="Times New Roman" w:hAnsi="Times New Roman"/>
          <w:lang w:val="fr-FR"/>
        </w:rPr>
        <w:tab/>
      </w:r>
      <w:r w:rsidRPr="00F932CD">
        <w:rPr>
          <w:rFonts w:ascii="Times New Roman" w:hAnsi="Times New Roman"/>
          <w:lang w:val="fr-FR"/>
        </w:rPr>
        <w:tab/>
      </w:r>
    </w:p>
    <w:sectPr w:rsidR="00817D71" w:rsidRPr="00F932CD" w:rsidSect="002324E9">
      <w:headerReference w:type="even" r:id="rId8"/>
      <w:headerReference w:type="default" r:id="rId9"/>
      <w:footerReference w:type="even" r:id="rId10"/>
      <w:footerReference w:type="default" r:id="rId11"/>
      <w:pgSz w:w="11907" w:h="16840" w:code="9"/>
      <w:pgMar w:top="964" w:right="964" w:bottom="964" w:left="1418" w:header="510" w:footer="51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7B6" w:rsidRDefault="002037B6">
      <w:r>
        <w:separator/>
      </w:r>
    </w:p>
  </w:endnote>
  <w:endnote w:type="continuationSeparator" w:id="0">
    <w:p w:rsidR="002037B6" w:rsidRDefault="0020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185" w:rsidRDefault="00937185" w:rsidP="007B43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7185" w:rsidRDefault="00937185" w:rsidP="007B437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185" w:rsidRPr="007B437D" w:rsidRDefault="00937185" w:rsidP="007B437D">
    <w:pPr>
      <w:pStyle w:val="Footer"/>
      <w:framePr w:wrap="around" w:vAnchor="text" w:hAnchor="margin" w:xAlign="right" w:y="1"/>
      <w:rPr>
        <w:rStyle w:val="PageNumber"/>
        <w:b/>
        <w:sz w:val="18"/>
        <w:szCs w:val="18"/>
      </w:rPr>
    </w:pPr>
  </w:p>
  <w:p w:rsidR="00937185" w:rsidRDefault="00937185" w:rsidP="007B437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7B6" w:rsidRDefault="002037B6">
      <w:r>
        <w:separator/>
      </w:r>
    </w:p>
  </w:footnote>
  <w:footnote w:type="continuationSeparator" w:id="0">
    <w:p w:rsidR="002037B6" w:rsidRDefault="00203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185" w:rsidRDefault="00937185" w:rsidP="00716D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7185" w:rsidRDefault="009371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185" w:rsidRPr="00716D61" w:rsidRDefault="00937185" w:rsidP="002B312B">
    <w:pPr>
      <w:pStyle w:val="Header"/>
      <w:framePr w:wrap="around" w:vAnchor="text" w:hAnchor="margin" w:xAlign="center" w:y="1"/>
      <w:rPr>
        <w:rStyle w:val="PageNumber"/>
        <w:sz w:val="24"/>
      </w:rPr>
    </w:pPr>
    <w:r>
      <w:rPr>
        <w:rStyle w:val="PageNumber"/>
        <w:sz w:val="24"/>
      </w:rPr>
      <w:t>-</w:t>
    </w:r>
    <w:r w:rsidRPr="00716D61">
      <w:rPr>
        <w:rStyle w:val="PageNumber"/>
        <w:sz w:val="24"/>
      </w:rPr>
      <w:fldChar w:fldCharType="begin"/>
    </w:r>
    <w:r w:rsidRPr="00716D61">
      <w:rPr>
        <w:rStyle w:val="PageNumber"/>
        <w:sz w:val="24"/>
      </w:rPr>
      <w:instrText xml:space="preserve">PAGE  </w:instrText>
    </w:r>
    <w:r w:rsidRPr="00716D61">
      <w:rPr>
        <w:rStyle w:val="PageNumber"/>
        <w:sz w:val="24"/>
      </w:rPr>
      <w:fldChar w:fldCharType="separate"/>
    </w:r>
    <w:r w:rsidR="00FD0F45">
      <w:rPr>
        <w:rStyle w:val="PageNumber"/>
        <w:noProof/>
        <w:sz w:val="24"/>
      </w:rPr>
      <w:t>5</w:t>
    </w:r>
    <w:r w:rsidRPr="00716D61">
      <w:rPr>
        <w:rStyle w:val="PageNumber"/>
        <w:sz w:val="24"/>
      </w:rPr>
      <w:fldChar w:fldCharType="end"/>
    </w:r>
    <w:r>
      <w:rPr>
        <w:rStyle w:val="PageNumber"/>
        <w:sz w:val="24"/>
      </w:rPr>
      <w:t>-</w:t>
    </w:r>
  </w:p>
  <w:p w:rsidR="00937185" w:rsidRDefault="00937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10E"/>
    <w:rsid w:val="00001BDB"/>
    <w:rsid w:val="00002118"/>
    <w:rsid w:val="0000214C"/>
    <w:rsid w:val="000028CF"/>
    <w:rsid w:val="00004621"/>
    <w:rsid w:val="00005204"/>
    <w:rsid w:val="00011332"/>
    <w:rsid w:val="000121D8"/>
    <w:rsid w:val="00012915"/>
    <w:rsid w:val="0001476F"/>
    <w:rsid w:val="000147EC"/>
    <w:rsid w:val="00014936"/>
    <w:rsid w:val="00015175"/>
    <w:rsid w:val="00017A51"/>
    <w:rsid w:val="00020109"/>
    <w:rsid w:val="00020C62"/>
    <w:rsid w:val="00021916"/>
    <w:rsid w:val="00021A69"/>
    <w:rsid w:val="00022074"/>
    <w:rsid w:val="00023215"/>
    <w:rsid w:val="000232A1"/>
    <w:rsid w:val="000254CD"/>
    <w:rsid w:val="000271D0"/>
    <w:rsid w:val="00031029"/>
    <w:rsid w:val="0003114F"/>
    <w:rsid w:val="00032B51"/>
    <w:rsid w:val="000355F2"/>
    <w:rsid w:val="0003752C"/>
    <w:rsid w:val="00041305"/>
    <w:rsid w:val="000420DA"/>
    <w:rsid w:val="00050497"/>
    <w:rsid w:val="00056143"/>
    <w:rsid w:val="00057166"/>
    <w:rsid w:val="000577AF"/>
    <w:rsid w:val="00064C8C"/>
    <w:rsid w:val="00064E70"/>
    <w:rsid w:val="00070283"/>
    <w:rsid w:val="00071A13"/>
    <w:rsid w:val="00071A86"/>
    <w:rsid w:val="000758C3"/>
    <w:rsid w:val="00075A79"/>
    <w:rsid w:val="000770C5"/>
    <w:rsid w:val="000777E4"/>
    <w:rsid w:val="00080C9C"/>
    <w:rsid w:val="00081AFF"/>
    <w:rsid w:val="0008534C"/>
    <w:rsid w:val="000857F1"/>
    <w:rsid w:val="00085B4A"/>
    <w:rsid w:val="000876E5"/>
    <w:rsid w:val="000928B5"/>
    <w:rsid w:val="00095DE5"/>
    <w:rsid w:val="00095F01"/>
    <w:rsid w:val="00096010"/>
    <w:rsid w:val="00096C47"/>
    <w:rsid w:val="000A1AD7"/>
    <w:rsid w:val="000A1EAA"/>
    <w:rsid w:val="000A3124"/>
    <w:rsid w:val="000A380A"/>
    <w:rsid w:val="000A6EB4"/>
    <w:rsid w:val="000B081C"/>
    <w:rsid w:val="000B086A"/>
    <w:rsid w:val="000B2B88"/>
    <w:rsid w:val="000B2D15"/>
    <w:rsid w:val="000B2DD3"/>
    <w:rsid w:val="000B321E"/>
    <w:rsid w:val="000B531B"/>
    <w:rsid w:val="000B76B0"/>
    <w:rsid w:val="000C201D"/>
    <w:rsid w:val="000C43EC"/>
    <w:rsid w:val="000C465C"/>
    <w:rsid w:val="000C5939"/>
    <w:rsid w:val="000C61C8"/>
    <w:rsid w:val="000D01CF"/>
    <w:rsid w:val="000D07B2"/>
    <w:rsid w:val="000D1A94"/>
    <w:rsid w:val="000D1B96"/>
    <w:rsid w:val="000D3AF2"/>
    <w:rsid w:val="000D4741"/>
    <w:rsid w:val="000D6C1D"/>
    <w:rsid w:val="000D71F9"/>
    <w:rsid w:val="000D7407"/>
    <w:rsid w:val="000E26F1"/>
    <w:rsid w:val="000E423A"/>
    <w:rsid w:val="000E426C"/>
    <w:rsid w:val="000E65FC"/>
    <w:rsid w:val="000F38A1"/>
    <w:rsid w:val="000F5AB0"/>
    <w:rsid w:val="000F5C38"/>
    <w:rsid w:val="000F643A"/>
    <w:rsid w:val="000F6C10"/>
    <w:rsid w:val="00102B42"/>
    <w:rsid w:val="00103826"/>
    <w:rsid w:val="0010780D"/>
    <w:rsid w:val="00110989"/>
    <w:rsid w:val="00113891"/>
    <w:rsid w:val="00113FA1"/>
    <w:rsid w:val="0011547C"/>
    <w:rsid w:val="00115FE5"/>
    <w:rsid w:val="00120E04"/>
    <w:rsid w:val="001250C6"/>
    <w:rsid w:val="00125595"/>
    <w:rsid w:val="00125952"/>
    <w:rsid w:val="00125BB0"/>
    <w:rsid w:val="00130C7A"/>
    <w:rsid w:val="00130D22"/>
    <w:rsid w:val="001310D4"/>
    <w:rsid w:val="00131B09"/>
    <w:rsid w:val="001324E5"/>
    <w:rsid w:val="00133522"/>
    <w:rsid w:val="00133CD4"/>
    <w:rsid w:val="00134E66"/>
    <w:rsid w:val="001407AD"/>
    <w:rsid w:val="00141E1F"/>
    <w:rsid w:val="00142147"/>
    <w:rsid w:val="00142BEE"/>
    <w:rsid w:val="00143605"/>
    <w:rsid w:val="00144D33"/>
    <w:rsid w:val="0014520F"/>
    <w:rsid w:val="001504D5"/>
    <w:rsid w:val="00152143"/>
    <w:rsid w:val="0015229E"/>
    <w:rsid w:val="00154845"/>
    <w:rsid w:val="0016122B"/>
    <w:rsid w:val="0016163A"/>
    <w:rsid w:val="001645E7"/>
    <w:rsid w:val="0016491D"/>
    <w:rsid w:val="00165722"/>
    <w:rsid w:val="00171094"/>
    <w:rsid w:val="00172412"/>
    <w:rsid w:val="00172D3C"/>
    <w:rsid w:val="00172F05"/>
    <w:rsid w:val="00176C08"/>
    <w:rsid w:val="0017714C"/>
    <w:rsid w:val="00181B9B"/>
    <w:rsid w:val="00182FC9"/>
    <w:rsid w:val="00183910"/>
    <w:rsid w:val="00183C72"/>
    <w:rsid w:val="00185775"/>
    <w:rsid w:val="00187B6B"/>
    <w:rsid w:val="00192499"/>
    <w:rsid w:val="00193167"/>
    <w:rsid w:val="001945A6"/>
    <w:rsid w:val="00196F67"/>
    <w:rsid w:val="001A0C03"/>
    <w:rsid w:val="001A1402"/>
    <w:rsid w:val="001A1F0E"/>
    <w:rsid w:val="001A41AE"/>
    <w:rsid w:val="001A42BD"/>
    <w:rsid w:val="001A4D1B"/>
    <w:rsid w:val="001A5847"/>
    <w:rsid w:val="001A6ADB"/>
    <w:rsid w:val="001A71E6"/>
    <w:rsid w:val="001A7B09"/>
    <w:rsid w:val="001B3416"/>
    <w:rsid w:val="001B395F"/>
    <w:rsid w:val="001B4542"/>
    <w:rsid w:val="001B5575"/>
    <w:rsid w:val="001B64BD"/>
    <w:rsid w:val="001B71FC"/>
    <w:rsid w:val="001C0025"/>
    <w:rsid w:val="001C1D6F"/>
    <w:rsid w:val="001C33B1"/>
    <w:rsid w:val="001C58FF"/>
    <w:rsid w:val="001C62FB"/>
    <w:rsid w:val="001C7941"/>
    <w:rsid w:val="001D37EC"/>
    <w:rsid w:val="001D41AD"/>
    <w:rsid w:val="001D50C1"/>
    <w:rsid w:val="001D6F63"/>
    <w:rsid w:val="001E1DD3"/>
    <w:rsid w:val="001E3BA6"/>
    <w:rsid w:val="001E451D"/>
    <w:rsid w:val="001E5CEB"/>
    <w:rsid w:val="001E671C"/>
    <w:rsid w:val="001E6F57"/>
    <w:rsid w:val="001E7387"/>
    <w:rsid w:val="001F1144"/>
    <w:rsid w:val="001F1C12"/>
    <w:rsid w:val="001F3F84"/>
    <w:rsid w:val="001F418F"/>
    <w:rsid w:val="001F57D8"/>
    <w:rsid w:val="001F580D"/>
    <w:rsid w:val="001F5B2A"/>
    <w:rsid w:val="001F7DC1"/>
    <w:rsid w:val="002008AE"/>
    <w:rsid w:val="00200965"/>
    <w:rsid w:val="0020102F"/>
    <w:rsid w:val="002037B6"/>
    <w:rsid w:val="002037FD"/>
    <w:rsid w:val="002047BB"/>
    <w:rsid w:val="00206314"/>
    <w:rsid w:val="00207F70"/>
    <w:rsid w:val="0021062E"/>
    <w:rsid w:val="00211159"/>
    <w:rsid w:val="002134FD"/>
    <w:rsid w:val="00214D53"/>
    <w:rsid w:val="00216720"/>
    <w:rsid w:val="0022190A"/>
    <w:rsid w:val="00223E66"/>
    <w:rsid w:val="002279EA"/>
    <w:rsid w:val="002310D6"/>
    <w:rsid w:val="002324E9"/>
    <w:rsid w:val="00236EB3"/>
    <w:rsid w:val="00240685"/>
    <w:rsid w:val="00241EC3"/>
    <w:rsid w:val="00242AAE"/>
    <w:rsid w:val="00242F6C"/>
    <w:rsid w:val="0024355F"/>
    <w:rsid w:val="002455FA"/>
    <w:rsid w:val="00252B7B"/>
    <w:rsid w:val="00256DAA"/>
    <w:rsid w:val="0026012D"/>
    <w:rsid w:val="00260A79"/>
    <w:rsid w:val="00261261"/>
    <w:rsid w:val="00261D7A"/>
    <w:rsid w:val="002635DA"/>
    <w:rsid w:val="00264460"/>
    <w:rsid w:val="00264864"/>
    <w:rsid w:val="00266C22"/>
    <w:rsid w:val="00267493"/>
    <w:rsid w:val="00274EE9"/>
    <w:rsid w:val="00275804"/>
    <w:rsid w:val="00276C1E"/>
    <w:rsid w:val="00277FF7"/>
    <w:rsid w:val="002836DD"/>
    <w:rsid w:val="0028622B"/>
    <w:rsid w:val="00286C19"/>
    <w:rsid w:val="00286EE4"/>
    <w:rsid w:val="00287211"/>
    <w:rsid w:val="00287852"/>
    <w:rsid w:val="00290F2F"/>
    <w:rsid w:val="00292E97"/>
    <w:rsid w:val="002934D7"/>
    <w:rsid w:val="00293FDF"/>
    <w:rsid w:val="00294AF4"/>
    <w:rsid w:val="00295191"/>
    <w:rsid w:val="002952E0"/>
    <w:rsid w:val="002967ED"/>
    <w:rsid w:val="002A003E"/>
    <w:rsid w:val="002A0FCE"/>
    <w:rsid w:val="002A13B1"/>
    <w:rsid w:val="002A1B25"/>
    <w:rsid w:val="002A1D38"/>
    <w:rsid w:val="002A38D2"/>
    <w:rsid w:val="002B0575"/>
    <w:rsid w:val="002B1800"/>
    <w:rsid w:val="002B312B"/>
    <w:rsid w:val="002C03FB"/>
    <w:rsid w:val="002C487D"/>
    <w:rsid w:val="002C5E42"/>
    <w:rsid w:val="002D0CC9"/>
    <w:rsid w:val="002D2CA4"/>
    <w:rsid w:val="002D2F3B"/>
    <w:rsid w:val="002D51AF"/>
    <w:rsid w:val="002D5B42"/>
    <w:rsid w:val="002D5E44"/>
    <w:rsid w:val="002D745A"/>
    <w:rsid w:val="002E14C1"/>
    <w:rsid w:val="002E1BC5"/>
    <w:rsid w:val="002E2435"/>
    <w:rsid w:val="002E2668"/>
    <w:rsid w:val="002E6283"/>
    <w:rsid w:val="002E6395"/>
    <w:rsid w:val="002E6E24"/>
    <w:rsid w:val="002F3749"/>
    <w:rsid w:val="002F4159"/>
    <w:rsid w:val="002F5476"/>
    <w:rsid w:val="002F62F4"/>
    <w:rsid w:val="002F7009"/>
    <w:rsid w:val="002F7A79"/>
    <w:rsid w:val="0030021A"/>
    <w:rsid w:val="00301B0D"/>
    <w:rsid w:val="00302593"/>
    <w:rsid w:val="00303CA0"/>
    <w:rsid w:val="00306772"/>
    <w:rsid w:val="00311DC6"/>
    <w:rsid w:val="00312B29"/>
    <w:rsid w:val="00317501"/>
    <w:rsid w:val="00320F7A"/>
    <w:rsid w:val="00321CBE"/>
    <w:rsid w:val="00321EC2"/>
    <w:rsid w:val="00321ED7"/>
    <w:rsid w:val="003224C8"/>
    <w:rsid w:val="00322A22"/>
    <w:rsid w:val="00322E87"/>
    <w:rsid w:val="00330BA7"/>
    <w:rsid w:val="00330BA9"/>
    <w:rsid w:val="00342466"/>
    <w:rsid w:val="0034494A"/>
    <w:rsid w:val="00346C2B"/>
    <w:rsid w:val="003472A4"/>
    <w:rsid w:val="00347694"/>
    <w:rsid w:val="00351AE4"/>
    <w:rsid w:val="0035210A"/>
    <w:rsid w:val="00352986"/>
    <w:rsid w:val="0035402A"/>
    <w:rsid w:val="00355EE8"/>
    <w:rsid w:val="003572C6"/>
    <w:rsid w:val="003658FA"/>
    <w:rsid w:val="00365E2E"/>
    <w:rsid w:val="00366CE8"/>
    <w:rsid w:val="00367280"/>
    <w:rsid w:val="00372FDB"/>
    <w:rsid w:val="00373AA5"/>
    <w:rsid w:val="00375CC7"/>
    <w:rsid w:val="00375DAE"/>
    <w:rsid w:val="00377051"/>
    <w:rsid w:val="00381139"/>
    <w:rsid w:val="00382057"/>
    <w:rsid w:val="0038260E"/>
    <w:rsid w:val="00386191"/>
    <w:rsid w:val="00387301"/>
    <w:rsid w:val="00387BAD"/>
    <w:rsid w:val="003908E7"/>
    <w:rsid w:val="00390FFB"/>
    <w:rsid w:val="00392D6A"/>
    <w:rsid w:val="00394367"/>
    <w:rsid w:val="00394B1E"/>
    <w:rsid w:val="00395913"/>
    <w:rsid w:val="00396A0E"/>
    <w:rsid w:val="00397B71"/>
    <w:rsid w:val="003A11D8"/>
    <w:rsid w:val="003A2809"/>
    <w:rsid w:val="003A46EC"/>
    <w:rsid w:val="003A4B09"/>
    <w:rsid w:val="003A4E4E"/>
    <w:rsid w:val="003A5637"/>
    <w:rsid w:val="003A5AEC"/>
    <w:rsid w:val="003A5E6B"/>
    <w:rsid w:val="003A620B"/>
    <w:rsid w:val="003A75E2"/>
    <w:rsid w:val="003B0465"/>
    <w:rsid w:val="003B08EA"/>
    <w:rsid w:val="003B1D5E"/>
    <w:rsid w:val="003B344B"/>
    <w:rsid w:val="003B3891"/>
    <w:rsid w:val="003B4D0C"/>
    <w:rsid w:val="003C1927"/>
    <w:rsid w:val="003C6234"/>
    <w:rsid w:val="003D0B11"/>
    <w:rsid w:val="003D2297"/>
    <w:rsid w:val="003D4283"/>
    <w:rsid w:val="003D58D2"/>
    <w:rsid w:val="003D5AEF"/>
    <w:rsid w:val="003E3090"/>
    <w:rsid w:val="003E30E9"/>
    <w:rsid w:val="003E32A3"/>
    <w:rsid w:val="003E4921"/>
    <w:rsid w:val="003E4D13"/>
    <w:rsid w:val="003E4D88"/>
    <w:rsid w:val="003E534A"/>
    <w:rsid w:val="003E676A"/>
    <w:rsid w:val="003F3468"/>
    <w:rsid w:val="003F4F14"/>
    <w:rsid w:val="003F5EE2"/>
    <w:rsid w:val="00400525"/>
    <w:rsid w:val="00400598"/>
    <w:rsid w:val="00402692"/>
    <w:rsid w:val="00403FE4"/>
    <w:rsid w:val="004043D7"/>
    <w:rsid w:val="00404C84"/>
    <w:rsid w:val="00406280"/>
    <w:rsid w:val="0041017B"/>
    <w:rsid w:val="00410633"/>
    <w:rsid w:val="0041064B"/>
    <w:rsid w:val="004107B2"/>
    <w:rsid w:val="00410905"/>
    <w:rsid w:val="00411501"/>
    <w:rsid w:val="00414785"/>
    <w:rsid w:val="004160C3"/>
    <w:rsid w:val="00417D7A"/>
    <w:rsid w:val="00420FEA"/>
    <w:rsid w:val="00421AA5"/>
    <w:rsid w:val="00425854"/>
    <w:rsid w:val="00426D47"/>
    <w:rsid w:val="00430CE5"/>
    <w:rsid w:val="0043112E"/>
    <w:rsid w:val="00431FC1"/>
    <w:rsid w:val="004332E7"/>
    <w:rsid w:val="00434478"/>
    <w:rsid w:val="00434FC1"/>
    <w:rsid w:val="00435BC8"/>
    <w:rsid w:val="00441482"/>
    <w:rsid w:val="0044160B"/>
    <w:rsid w:val="0044163C"/>
    <w:rsid w:val="0044249B"/>
    <w:rsid w:val="00444BE5"/>
    <w:rsid w:val="00446CC7"/>
    <w:rsid w:val="00450B43"/>
    <w:rsid w:val="00451367"/>
    <w:rsid w:val="004514A2"/>
    <w:rsid w:val="00451EA9"/>
    <w:rsid w:val="004533E0"/>
    <w:rsid w:val="00457B23"/>
    <w:rsid w:val="00457DB3"/>
    <w:rsid w:val="004607D7"/>
    <w:rsid w:val="004643DD"/>
    <w:rsid w:val="004654AC"/>
    <w:rsid w:val="0046563A"/>
    <w:rsid w:val="00466167"/>
    <w:rsid w:val="0046653D"/>
    <w:rsid w:val="00466986"/>
    <w:rsid w:val="00473711"/>
    <w:rsid w:val="004757BA"/>
    <w:rsid w:val="00475FE9"/>
    <w:rsid w:val="0047628A"/>
    <w:rsid w:val="00477326"/>
    <w:rsid w:val="00482776"/>
    <w:rsid w:val="00483DBA"/>
    <w:rsid w:val="00491502"/>
    <w:rsid w:val="0049198A"/>
    <w:rsid w:val="00496344"/>
    <w:rsid w:val="004A1D49"/>
    <w:rsid w:val="004A2BE0"/>
    <w:rsid w:val="004A390C"/>
    <w:rsid w:val="004A6523"/>
    <w:rsid w:val="004B1E53"/>
    <w:rsid w:val="004B372F"/>
    <w:rsid w:val="004B3D07"/>
    <w:rsid w:val="004B5325"/>
    <w:rsid w:val="004B635C"/>
    <w:rsid w:val="004B789C"/>
    <w:rsid w:val="004C2B64"/>
    <w:rsid w:val="004C5BA6"/>
    <w:rsid w:val="004D1765"/>
    <w:rsid w:val="004D32D4"/>
    <w:rsid w:val="004D3F6C"/>
    <w:rsid w:val="004E010E"/>
    <w:rsid w:val="004E279E"/>
    <w:rsid w:val="004E5762"/>
    <w:rsid w:val="004F217B"/>
    <w:rsid w:val="004F2C7F"/>
    <w:rsid w:val="004F361E"/>
    <w:rsid w:val="004F45F8"/>
    <w:rsid w:val="004F520D"/>
    <w:rsid w:val="00505418"/>
    <w:rsid w:val="005063E4"/>
    <w:rsid w:val="00507987"/>
    <w:rsid w:val="005113A1"/>
    <w:rsid w:val="005117C9"/>
    <w:rsid w:val="00512953"/>
    <w:rsid w:val="00513BA1"/>
    <w:rsid w:val="00516622"/>
    <w:rsid w:val="0051671B"/>
    <w:rsid w:val="00520921"/>
    <w:rsid w:val="00521578"/>
    <w:rsid w:val="0052243D"/>
    <w:rsid w:val="00522BD5"/>
    <w:rsid w:val="00523ED1"/>
    <w:rsid w:val="00524B3E"/>
    <w:rsid w:val="00525737"/>
    <w:rsid w:val="00526409"/>
    <w:rsid w:val="00527ABD"/>
    <w:rsid w:val="0053024E"/>
    <w:rsid w:val="005302F1"/>
    <w:rsid w:val="00531564"/>
    <w:rsid w:val="005322E0"/>
    <w:rsid w:val="005401FF"/>
    <w:rsid w:val="00540C20"/>
    <w:rsid w:val="00541360"/>
    <w:rsid w:val="00544839"/>
    <w:rsid w:val="005521A2"/>
    <w:rsid w:val="00552493"/>
    <w:rsid w:val="005525C0"/>
    <w:rsid w:val="005530B5"/>
    <w:rsid w:val="005545F8"/>
    <w:rsid w:val="005546DB"/>
    <w:rsid w:val="00555164"/>
    <w:rsid w:val="00555487"/>
    <w:rsid w:val="00556038"/>
    <w:rsid w:val="005576F3"/>
    <w:rsid w:val="005611FF"/>
    <w:rsid w:val="00561A4E"/>
    <w:rsid w:val="00566916"/>
    <w:rsid w:val="0057087B"/>
    <w:rsid w:val="005757AD"/>
    <w:rsid w:val="00576B1F"/>
    <w:rsid w:val="00577C61"/>
    <w:rsid w:val="005800D4"/>
    <w:rsid w:val="00583356"/>
    <w:rsid w:val="00584630"/>
    <w:rsid w:val="00584925"/>
    <w:rsid w:val="00586674"/>
    <w:rsid w:val="005866E4"/>
    <w:rsid w:val="00593BE4"/>
    <w:rsid w:val="0059504E"/>
    <w:rsid w:val="00595C95"/>
    <w:rsid w:val="00596319"/>
    <w:rsid w:val="00596574"/>
    <w:rsid w:val="005A15E1"/>
    <w:rsid w:val="005A38BF"/>
    <w:rsid w:val="005A6622"/>
    <w:rsid w:val="005B215F"/>
    <w:rsid w:val="005B29BA"/>
    <w:rsid w:val="005B3F04"/>
    <w:rsid w:val="005B5D2F"/>
    <w:rsid w:val="005C0A50"/>
    <w:rsid w:val="005C23EA"/>
    <w:rsid w:val="005C26CD"/>
    <w:rsid w:val="005C417E"/>
    <w:rsid w:val="005C46F7"/>
    <w:rsid w:val="005C6CBA"/>
    <w:rsid w:val="005C7506"/>
    <w:rsid w:val="005D15CA"/>
    <w:rsid w:val="005D325A"/>
    <w:rsid w:val="005D418F"/>
    <w:rsid w:val="005D51BA"/>
    <w:rsid w:val="005D6103"/>
    <w:rsid w:val="005D693E"/>
    <w:rsid w:val="005E313A"/>
    <w:rsid w:val="005E44ED"/>
    <w:rsid w:val="005E45EC"/>
    <w:rsid w:val="005E4998"/>
    <w:rsid w:val="005E574D"/>
    <w:rsid w:val="005E650F"/>
    <w:rsid w:val="005E6E67"/>
    <w:rsid w:val="005F047E"/>
    <w:rsid w:val="005F0481"/>
    <w:rsid w:val="005F137D"/>
    <w:rsid w:val="005F3264"/>
    <w:rsid w:val="005F4C46"/>
    <w:rsid w:val="005F5FD5"/>
    <w:rsid w:val="005F6C40"/>
    <w:rsid w:val="006045B2"/>
    <w:rsid w:val="00610528"/>
    <w:rsid w:val="0061212A"/>
    <w:rsid w:val="006124E3"/>
    <w:rsid w:val="00616462"/>
    <w:rsid w:val="006173D1"/>
    <w:rsid w:val="00617CDB"/>
    <w:rsid w:val="006205A9"/>
    <w:rsid w:val="0062196F"/>
    <w:rsid w:val="0062276A"/>
    <w:rsid w:val="006228F4"/>
    <w:rsid w:val="0062400A"/>
    <w:rsid w:val="006323BC"/>
    <w:rsid w:val="00632DA8"/>
    <w:rsid w:val="006331A6"/>
    <w:rsid w:val="00636C8B"/>
    <w:rsid w:val="00636D5F"/>
    <w:rsid w:val="00637DD4"/>
    <w:rsid w:val="00643C8D"/>
    <w:rsid w:val="00644A50"/>
    <w:rsid w:val="006458C2"/>
    <w:rsid w:val="00645AE4"/>
    <w:rsid w:val="006470C3"/>
    <w:rsid w:val="006474D9"/>
    <w:rsid w:val="00647BE4"/>
    <w:rsid w:val="00651A8C"/>
    <w:rsid w:val="006525B3"/>
    <w:rsid w:val="00652740"/>
    <w:rsid w:val="00652A84"/>
    <w:rsid w:val="0066008E"/>
    <w:rsid w:val="00661270"/>
    <w:rsid w:val="00664432"/>
    <w:rsid w:val="00664FC3"/>
    <w:rsid w:val="0066708F"/>
    <w:rsid w:val="0067071E"/>
    <w:rsid w:val="00671DF2"/>
    <w:rsid w:val="00675BB0"/>
    <w:rsid w:val="00681CC1"/>
    <w:rsid w:val="00682800"/>
    <w:rsid w:val="00683D8A"/>
    <w:rsid w:val="00684524"/>
    <w:rsid w:val="006853C3"/>
    <w:rsid w:val="006856D2"/>
    <w:rsid w:val="00685BAC"/>
    <w:rsid w:val="0069259D"/>
    <w:rsid w:val="00695785"/>
    <w:rsid w:val="00696CAA"/>
    <w:rsid w:val="006A2061"/>
    <w:rsid w:val="006A20AD"/>
    <w:rsid w:val="006A2C65"/>
    <w:rsid w:val="006A39A3"/>
    <w:rsid w:val="006A5EF2"/>
    <w:rsid w:val="006A6EFD"/>
    <w:rsid w:val="006A7ABC"/>
    <w:rsid w:val="006B0D59"/>
    <w:rsid w:val="006B2B49"/>
    <w:rsid w:val="006B513D"/>
    <w:rsid w:val="006B7102"/>
    <w:rsid w:val="006C1097"/>
    <w:rsid w:val="006C1573"/>
    <w:rsid w:val="006C1EDC"/>
    <w:rsid w:val="006C4193"/>
    <w:rsid w:val="006C520E"/>
    <w:rsid w:val="006C523C"/>
    <w:rsid w:val="006C54AB"/>
    <w:rsid w:val="006D0A84"/>
    <w:rsid w:val="006D2A4B"/>
    <w:rsid w:val="006D46D4"/>
    <w:rsid w:val="006D5648"/>
    <w:rsid w:val="006D7823"/>
    <w:rsid w:val="006D7AF3"/>
    <w:rsid w:val="006E11C4"/>
    <w:rsid w:val="006E26DA"/>
    <w:rsid w:val="006E423E"/>
    <w:rsid w:val="006E4B0F"/>
    <w:rsid w:val="006E4BE4"/>
    <w:rsid w:val="006E5B12"/>
    <w:rsid w:val="006E6738"/>
    <w:rsid w:val="006E79C2"/>
    <w:rsid w:val="006F16BF"/>
    <w:rsid w:val="006F3432"/>
    <w:rsid w:val="006F34AC"/>
    <w:rsid w:val="006F5B0E"/>
    <w:rsid w:val="007012FD"/>
    <w:rsid w:val="007032E2"/>
    <w:rsid w:val="00703840"/>
    <w:rsid w:val="00704E35"/>
    <w:rsid w:val="00705AFB"/>
    <w:rsid w:val="00706AB5"/>
    <w:rsid w:val="00706E62"/>
    <w:rsid w:val="007074F1"/>
    <w:rsid w:val="007104B5"/>
    <w:rsid w:val="00710CB9"/>
    <w:rsid w:val="00711408"/>
    <w:rsid w:val="00712597"/>
    <w:rsid w:val="00716365"/>
    <w:rsid w:val="00716D61"/>
    <w:rsid w:val="0072298D"/>
    <w:rsid w:val="007241EA"/>
    <w:rsid w:val="007251AD"/>
    <w:rsid w:val="007260AF"/>
    <w:rsid w:val="00726407"/>
    <w:rsid w:val="007273AB"/>
    <w:rsid w:val="0073115B"/>
    <w:rsid w:val="00736767"/>
    <w:rsid w:val="00736F8B"/>
    <w:rsid w:val="00740A1F"/>
    <w:rsid w:val="00740E94"/>
    <w:rsid w:val="00742106"/>
    <w:rsid w:val="00742D7B"/>
    <w:rsid w:val="0074317A"/>
    <w:rsid w:val="00744E6F"/>
    <w:rsid w:val="00750447"/>
    <w:rsid w:val="00753B09"/>
    <w:rsid w:val="00753D3F"/>
    <w:rsid w:val="00754F01"/>
    <w:rsid w:val="0075614D"/>
    <w:rsid w:val="00756657"/>
    <w:rsid w:val="00757ED2"/>
    <w:rsid w:val="0076193D"/>
    <w:rsid w:val="0076214C"/>
    <w:rsid w:val="00764990"/>
    <w:rsid w:val="00765250"/>
    <w:rsid w:val="00767FF1"/>
    <w:rsid w:val="00771792"/>
    <w:rsid w:val="00772BF7"/>
    <w:rsid w:val="00772EB2"/>
    <w:rsid w:val="00774C5D"/>
    <w:rsid w:val="00776D86"/>
    <w:rsid w:val="00776DAC"/>
    <w:rsid w:val="00780F64"/>
    <w:rsid w:val="0078671A"/>
    <w:rsid w:val="00787A10"/>
    <w:rsid w:val="00790661"/>
    <w:rsid w:val="007909E1"/>
    <w:rsid w:val="00791B93"/>
    <w:rsid w:val="0079206C"/>
    <w:rsid w:val="007931B0"/>
    <w:rsid w:val="0079454A"/>
    <w:rsid w:val="007963F2"/>
    <w:rsid w:val="00797345"/>
    <w:rsid w:val="007A211F"/>
    <w:rsid w:val="007A5966"/>
    <w:rsid w:val="007B00EA"/>
    <w:rsid w:val="007B1238"/>
    <w:rsid w:val="007B3839"/>
    <w:rsid w:val="007B437D"/>
    <w:rsid w:val="007B5715"/>
    <w:rsid w:val="007B77BA"/>
    <w:rsid w:val="007B7958"/>
    <w:rsid w:val="007B7C2D"/>
    <w:rsid w:val="007C0B7E"/>
    <w:rsid w:val="007C3BEE"/>
    <w:rsid w:val="007C5018"/>
    <w:rsid w:val="007C785F"/>
    <w:rsid w:val="007D1EAF"/>
    <w:rsid w:val="007D4762"/>
    <w:rsid w:val="007D500C"/>
    <w:rsid w:val="007D66AE"/>
    <w:rsid w:val="007E048D"/>
    <w:rsid w:val="007E1D55"/>
    <w:rsid w:val="007E480B"/>
    <w:rsid w:val="007E4BA2"/>
    <w:rsid w:val="007E5C24"/>
    <w:rsid w:val="007E67DA"/>
    <w:rsid w:val="007F0781"/>
    <w:rsid w:val="007F16AB"/>
    <w:rsid w:val="007F4D90"/>
    <w:rsid w:val="007F62C2"/>
    <w:rsid w:val="007F6D04"/>
    <w:rsid w:val="007F6E13"/>
    <w:rsid w:val="007F78F5"/>
    <w:rsid w:val="0080068D"/>
    <w:rsid w:val="008009FF"/>
    <w:rsid w:val="00800A3A"/>
    <w:rsid w:val="008014DE"/>
    <w:rsid w:val="0080218D"/>
    <w:rsid w:val="00802F06"/>
    <w:rsid w:val="008032E0"/>
    <w:rsid w:val="0080331E"/>
    <w:rsid w:val="0080364A"/>
    <w:rsid w:val="00804C97"/>
    <w:rsid w:val="00811FCC"/>
    <w:rsid w:val="00813E72"/>
    <w:rsid w:val="008149B8"/>
    <w:rsid w:val="00815432"/>
    <w:rsid w:val="00815D36"/>
    <w:rsid w:val="00817D71"/>
    <w:rsid w:val="0082417B"/>
    <w:rsid w:val="00825133"/>
    <w:rsid w:val="008254D9"/>
    <w:rsid w:val="00825BD8"/>
    <w:rsid w:val="00827864"/>
    <w:rsid w:val="00831325"/>
    <w:rsid w:val="00833C18"/>
    <w:rsid w:val="00834F10"/>
    <w:rsid w:val="008354AA"/>
    <w:rsid w:val="00836BC7"/>
    <w:rsid w:val="00841A95"/>
    <w:rsid w:val="00843609"/>
    <w:rsid w:val="00844A8A"/>
    <w:rsid w:val="0084639E"/>
    <w:rsid w:val="008463CC"/>
    <w:rsid w:val="00850CC9"/>
    <w:rsid w:val="00850FDD"/>
    <w:rsid w:val="008527FD"/>
    <w:rsid w:val="00853E5A"/>
    <w:rsid w:val="008556F5"/>
    <w:rsid w:val="0085614F"/>
    <w:rsid w:val="008606C7"/>
    <w:rsid w:val="00861FCB"/>
    <w:rsid w:val="00862505"/>
    <w:rsid w:val="0086468C"/>
    <w:rsid w:val="00866C97"/>
    <w:rsid w:val="0086745A"/>
    <w:rsid w:val="008679BC"/>
    <w:rsid w:val="00870A36"/>
    <w:rsid w:val="00871488"/>
    <w:rsid w:val="008716B2"/>
    <w:rsid w:val="00872597"/>
    <w:rsid w:val="00873A4C"/>
    <w:rsid w:val="00873AE6"/>
    <w:rsid w:val="00874687"/>
    <w:rsid w:val="00875D35"/>
    <w:rsid w:val="00880630"/>
    <w:rsid w:val="00881CA4"/>
    <w:rsid w:val="0088437D"/>
    <w:rsid w:val="00886CF8"/>
    <w:rsid w:val="00886DCA"/>
    <w:rsid w:val="0089459A"/>
    <w:rsid w:val="008956F5"/>
    <w:rsid w:val="00895783"/>
    <w:rsid w:val="008A08E6"/>
    <w:rsid w:val="008A69EB"/>
    <w:rsid w:val="008A752E"/>
    <w:rsid w:val="008B04D6"/>
    <w:rsid w:val="008B0E50"/>
    <w:rsid w:val="008B2AD0"/>
    <w:rsid w:val="008B3E33"/>
    <w:rsid w:val="008B4B0D"/>
    <w:rsid w:val="008B5CAB"/>
    <w:rsid w:val="008B6B1D"/>
    <w:rsid w:val="008B6D5F"/>
    <w:rsid w:val="008B7AA7"/>
    <w:rsid w:val="008C1288"/>
    <w:rsid w:val="008C1CE1"/>
    <w:rsid w:val="008C36D1"/>
    <w:rsid w:val="008C67CA"/>
    <w:rsid w:val="008C7E31"/>
    <w:rsid w:val="008C7F75"/>
    <w:rsid w:val="008D2234"/>
    <w:rsid w:val="008D3239"/>
    <w:rsid w:val="008D4313"/>
    <w:rsid w:val="008D5B74"/>
    <w:rsid w:val="008D66F1"/>
    <w:rsid w:val="008E3566"/>
    <w:rsid w:val="008E3690"/>
    <w:rsid w:val="008E4D99"/>
    <w:rsid w:val="008E7F73"/>
    <w:rsid w:val="008F0E3A"/>
    <w:rsid w:val="008F13A3"/>
    <w:rsid w:val="008F25A3"/>
    <w:rsid w:val="008F2A43"/>
    <w:rsid w:val="008F407C"/>
    <w:rsid w:val="008F5D40"/>
    <w:rsid w:val="008F650E"/>
    <w:rsid w:val="008F7F3A"/>
    <w:rsid w:val="00900B11"/>
    <w:rsid w:val="0090280E"/>
    <w:rsid w:val="009034EE"/>
    <w:rsid w:val="009044FA"/>
    <w:rsid w:val="00904DDA"/>
    <w:rsid w:val="009059C5"/>
    <w:rsid w:val="009062AB"/>
    <w:rsid w:val="00906866"/>
    <w:rsid w:val="009077F0"/>
    <w:rsid w:val="009117E1"/>
    <w:rsid w:val="0091475B"/>
    <w:rsid w:val="009147AF"/>
    <w:rsid w:val="00914DE4"/>
    <w:rsid w:val="009156E9"/>
    <w:rsid w:val="009164B5"/>
    <w:rsid w:val="00923A69"/>
    <w:rsid w:val="00923A7B"/>
    <w:rsid w:val="0092507E"/>
    <w:rsid w:val="00931270"/>
    <w:rsid w:val="009334F7"/>
    <w:rsid w:val="00933DB0"/>
    <w:rsid w:val="00934056"/>
    <w:rsid w:val="00935FA6"/>
    <w:rsid w:val="00937185"/>
    <w:rsid w:val="00937C5C"/>
    <w:rsid w:val="00940250"/>
    <w:rsid w:val="00941B37"/>
    <w:rsid w:val="0094457C"/>
    <w:rsid w:val="0094498A"/>
    <w:rsid w:val="00945A1D"/>
    <w:rsid w:val="009547AB"/>
    <w:rsid w:val="00956963"/>
    <w:rsid w:val="00957899"/>
    <w:rsid w:val="00962AD0"/>
    <w:rsid w:val="009641C6"/>
    <w:rsid w:val="0096446E"/>
    <w:rsid w:val="00964C7E"/>
    <w:rsid w:val="00964CB1"/>
    <w:rsid w:val="009704E4"/>
    <w:rsid w:val="0097079C"/>
    <w:rsid w:val="0097141A"/>
    <w:rsid w:val="00972582"/>
    <w:rsid w:val="00975D8C"/>
    <w:rsid w:val="00975E6D"/>
    <w:rsid w:val="009770DC"/>
    <w:rsid w:val="009834F3"/>
    <w:rsid w:val="00983E54"/>
    <w:rsid w:val="00985B7F"/>
    <w:rsid w:val="009919B8"/>
    <w:rsid w:val="00991F4F"/>
    <w:rsid w:val="00993A98"/>
    <w:rsid w:val="00993CBA"/>
    <w:rsid w:val="009952A3"/>
    <w:rsid w:val="00996C38"/>
    <w:rsid w:val="0099741D"/>
    <w:rsid w:val="00997776"/>
    <w:rsid w:val="009A454C"/>
    <w:rsid w:val="009A79E0"/>
    <w:rsid w:val="009B2E35"/>
    <w:rsid w:val="009B35C0"/>
    <w:rsid w:val="009B50DA"/>
    <w:rsid w:val="009B5850"/>
    <w:rsid w:val="009C1441"/>
    <w:rsid w:val="009C2B57"/>
    <w:rsid w:val="009C6079"/>
    <w:rsid w:val="009C6D4A"/>
    <w:rsid w:val="009D1A32"/>
    <w:rsid w:val="009D3D6E"/>
    <w:rsid w:val="009D4C29"/>
    <w:rsid w:val="009D4E51"/>
    <w:rsid w:val="009D5CC7"/>
    <w:rsid w:val="009D7663"/>
    <w:rsid w:val="009E5D7E"/>
    <w:rsid w:val="009E6BB4"/>
    <w:rsid w:val="009E6BBD"/>
    <w:rsid w:val="009E6D0D"/>
    <w:rsid w:val="009E7D95"/>
    <w:rsid w:val="009F2DD2"/>
    <w:rsid w:val="009F3CF8"/>
    <w:rsid w:val="009F46B1"/>
    <w:rsid w:val="009F51FD"/>
    <w:rsid w:val="009F5A3A"/>
    <w:rsid w:val="009F640C"/>
    <w:rsid w:val="009F73EB"/>
    <w:rsid w:val="009F7B2F"/>
    <w:rsid w:val="00A04947"/>
    <w:rsid w:val="00A10451"/>
    <w:rsid w:val="00A1089F"/>
    <w:rsid w:val="00A12B96"/>
    <w:rsid w:val="00A130CE"/>
    <w:rsid w:val="00A13815"/>
    <w:rsid w:val="00A139A0"/>
    <w:rsid w:val="00A22784"/>
    <w:rsid w:val="00A23841"/>
    <w:rsid w:val="00A24946"/>
    <w:rsid w:val="00A261B6"/>
    <w:rsid w:val="00A26221"/>
    <w:rsid w:val="00A2778A"/>
    <w:rsid w:val="00A31CA0"/>
    <w:rsid w:val="00A32328"/>
    <w:rsid w:val="00A34BCA"/>
    <w:rsid w:val="00A359E1"/>
    <w:rsid w:val="00A35A1E"/>
    <w:rsid w:val="00A36550"/>
    <w:rsid w:val="00A36B2F"/>
    <w:rsid w:val="00A40CC7"/>
    <w:rsid w:val="00A41985"/>
    <w:rsid w:val="00A42761"/>
    <w:rsid w:val="00A431C8"/>
    <w:rsid w:val="00A45A60"/>
    <w:rsid w:val="00A512F7"/>
    <w:rsid w:val="00A526BD"/>
    <w:rsid w:val="00A52F81"/>
    <w:rsid w:val="00A53F03"/>
    <w:rsid w:val="00A547E8"/>
    <w:rsid w:val="00A55153"/>
    <w:rsid w:val="00A55FAD"/>
    <w:rsid w:val="00A57F97"/>
    <w:rsid w:val="00A64D9A"/>
    <w:rsid w:val="00A6614C"/>
    <w:rsid w:val="00A67FD8"/>
    <w:rsid w:val="00A71F3A"/>
    <w:rsid w:val="00A723E5"/>
    <w:rsid w:val="00A72489"/>
    <w:rsid w:val="00A738A0"/>
    <w:rsid w:val="00A73C19"/>
    <w:rsid w:val="00A7535C"/>
    <w:rsid w:val="00A767B4"/>
    <w:rsid w:val="00A768D3"/>
    <w:rsid w:val="00A76F44"/>
    <w:rsid w:val="00A77724"/>
    <w:rsid w:val="00A8688C"/>
    <w:rsid w:val="00A86948"/>
    <w:rsid w:val="00A86DCA"/>
    <w:rsid w:val="00A8778C"/>
    <w:rsid w:val="00A968AC"/>
    <w:rsid w:val="00A9700F"/>
    <w:rsid w:val="00AA043B"/>
    <w:rsid w:val="00AA2F6A"/>
    <w:rsid w:val="00AA4D40"/>
    <w:rsid w:val="00AA7C4A"/>
    <w:rsid w:val="00AB0B80"/>
    <w:rsid w:val="00AB344D"/>
    <w:rsid w:val="00AC0319"/>
    <w:rsid w:val="00AC14CE"/>
    <w:rsid w:val="00AC15C6"/>
    <w:rsid w:val="00AC221A"/>
    <w:rsid w:val="00AC3ABA"/>
    <w:rsid w:val="00AC65F5"/>
    <w:rsid w:val="00AD139B"/>
    <w:rsid w:val="00AD2628"/>
    <w:rsid w:val="00AD3C1E"/>
    <w:rsid w:val="00AD3D2A"/>
    <w:rsid w:val="00AD56FD"/>
    <w:rsid w:val="00AE0085"/>
    <w:rsid w:val="00AE18BB"/>
    <w:rsid w:val="00AE260E"/>
    <w:rsid w:val="00AE3435"/>
    <w:rsid w:val="00AE39C0"/>
    <w:rsid w:val="00AE3FD3"/>
    <w:rsid w:val="00AE5C26"/>
    <w:rsid w:val="00AE5E92"/>
    <w:rsid w:val="00AE691A"/>
    <w:rsid w:val="00AF0786"/>
    <w:rsid w:val="00AF0A8F"/>
    <w:rsid w:val="00AF557E"/>
    <w:rsid w:val="00B038C7"/>
    <w:rsid w:val="00B0787C"/>
    <w:rsid w:val="00B07D51"/>
    <w:rsid w:val="00B127E0"/>
    <w:rsid w:val="00B12E33"/>
    <w:rsid w:val="00B15933"/>
    <w:rsid w:val="00B16760"/>
    <w:rsid w:val="00B204CD"/>
    <w:rsid w:val="00B21FA4"/>
    <w:rsid w:val="00B246ED"/>
    <w:rsid w:val="00B314B9"/>
    <w:rsid w:val="00B326CC"/>
    <w:rsid w:val="00B32D72"/>
    <w:rsid w:val="00B342FA"/>
    <w:rsid w:val="00B343D9"/>
    <w:rsid w:val="00B350C4"/>
    <w:rsid w:val="00B35253"/>
    <w:rsid w:val="00B41452"/>
    <w:rsid w:val="00B41EEB"/>
    <w:rsid w:val="00B41F8E"/>
    <w:rsid w:val="00B42DC8"/>
    <w:rsid w:val="00B43092"/>
    <w:rsid w:val="00B44590"/>
    <w:rsid w:val="00B467DC"/>
    <w:rsid w:val="00B46CFA"/>
    <w:rsid w:val="00B47DC9"/>
    <w:rsid w:val="00B5127B"/>
    <w:rsid w:val="00B543FA"/>
    <w:rsid w:val="00B5447D"/>
    <w:rsid w:val="00B567B7"/>
    <w:rsid w:val="00B60E03"/>
    <w:rsid w:val="00B617AE"/>
    <w:rsid w:val="00B628C3"/>
    <w:rsid w:val="00B639C7"/>
    <w:rsid w:val="00B648D5"/>
    <w:rsid w:val="00B65FD2"/>
    <w:rsid w:val="00B70C08"/>
    <w:rsid w:val="00B7359C"/>
    <w:rsid w:val="00B7374D"/>
    <w:rsid w:val="00B806B3"/>
    <w:rsid w:val="00B80ACF"/>
    <w:rsid w:val="00B81A38"/>
    <w:rsid w:val="00B82B5E"/>
    <w:rsid w:val="00B83CE9"/>
    <w:rsid w:val="00B87764"/>
    <w:rsid w:val="00B91348"/>
    <w:rsid w:val="00B91B29"/>
    <w:rsid w:val="00B92F78"/>
    <w:rsid w:val="00B974F4"/>
    <w:rsid w:val="00BA05D1"/>
    <w:rsid w:val="00BA5194"/>
    <w:rsid w:val="00BB12D0"/>
    <w:rsid w:val="00BB2499"/>
    <w:rsid w:val="00BB2C5D"/>
    <w:rsid w:val="00BB2E1D"/>
    <w:rsid w:val="00BB2E7A"/>
    <w:rsid w:val="00BC0F0F"/>
    <w:rsid w:val="00BC1427"/>
    <w:rsid w:val="00BC180C"/>
    <w:rsid w:val="00BC493E"/>
    <w:rsid w:val="00BC7F52"/>
    <w:rsid w:val="00BD019F"/>
    <w:rsid w:val="00BD04D0"/>
    <w:rsid w:val="00BD121E"/>
    <w:rsid w:val="00BD3A9D"/>
    <w:rsid w:val="00BD4BF0"/>
    <w:rsid w:val="00BD4F85"/>
    <w:rsid w:val="00BE0C03"/>
    <w:rsid w:val="00BE2FA6"/>
    <w:rsid w:val="00BE656E"/>
    <w:rsid w:val="00BF25FF"/>
    <w:rsid w:val="00BF3640"/>
    <w:rsid w:val="00BF3C98"/>
    <w:rsid w:val="00BF44F9"/>
    <w:rsid w:val="00BF71E2"/>
    <w:rsid w:val="00C00262"/>
    <w:rsid w:val="00C0120F"/>
    <w:rsid w:val="00C01539"/>
    <w:rsid w:val="00C04D03"/>
    <w:rsid w:val="00C05FB3"/>
    <w:rsid w:val="00C06874"/>
    <w:rsid w:val="00C070BD"/>
    <w:rsid w:val="00C111C4"/>
    <w:rsid w:val="00C12320"/>
    <w:rsid w:val="00C12A06"/>
    <w:rsid w:val="00C13670"/>
    <w:rsid w:val="00C15D1B"/>
    <w:rsid w:val="00C16075"/>
    <w:rsid w:val="00C161DD"/>
    <w:rsid w:val="00C174F7"/>
    <w:rsid w:val="00C20B6B"/>
    <w:rsid w:val="00C20E77"/>
    <w:rsid w:val="00C211F3"/>
    <w:rsid w:val="00C21546"/>
    <w:rsid w:val="00C2607C"/>
    <w:rsid w:val="00C26130"/>
    <w:rsid w:val="00C26C9B"/>
    <w:rsid w:val="00C2712E"/>
    <w:rsid w:val="00C306A1"/>
    <w:rsid w:val="00C37B7C"/>
    <w:rsid w:val="00C41EAC"/>
    <w:rsid w:val="00C4382C"/>
    <w:rsid w:val="00C4399D"/>
    <w:rsid w:val="00C4457C"/>
    <w:rsid w:val="00C51A0B"/>
    <w:rsid w:val="00C51B32"/>
    <w:rsid w:val="00C531D5"/>
    <w:rsid w:val="00C536ED"/>
    <w:rsid w:val="00C5601D"/>
    <w:rsid w:val="00C577AB"/>
    <w:rsid w:val="00C57CDD"/>
    <w:rsid w:val="00C61DA4"/>
    <w:rsid w:val="00C624BF"/>
    <w:rsid w:val="00C624EA"/>
    <w:rsid w:val="00C62581"/>
    <w:rsid w:val="00C6438A"/>
    <w:rsid w:val="00C64451"/>
    <w:rsid w:val="00C6494B"/>
    <w:rsid w:val="00C70149"/>
    <w:rsid w:val="00C7049D"/>
    <w:rsid w:val="00C71D8A"/>
    <w:rsid w:val="00C81A59"/>
    <w:rsid w:val="00C86242"/>
    <w:rsid w:val="00C8755D"/>
    <w:rsid w:val="00C902F3"/>
    <w:rsid w:val="00C97814"/>
    <w:rsid w:val="00CA4000"/>
    <w:rsid w:val="00CA5A62"/>
    <w:rsid w:val="00CA640F"/>
    <w:rsid w:val="00CA7234"/>
    <w:rsid w:val="00CA75D3"/>
    <w:rsid w:val="00CA7FDC"/>
    <w:rsid w:val="00CB0DE5"/>
    <w:rsid w:val="00CB0EBA"/>
    <w:rsid w:val="00CB1295"/>
    <w:rsid w:val="00CB536B"/>
    <w:rsid w:val="00CB58B9"/>
    <w:rsid w:val="00CB6342"/>
    <w:rsid w:val="00CB6965"/>
    <w:rsid w:val="00CB7550"/>
    <w:rsid w:val="00CB7F8A"/>
    <w:rsid w:val="00CC26D7"/>
    <w:rsid w:val="00CC39EB"/>
    <w:rsid w:val="00CC47DC"/>
    <w:rsid w:val="00CC784F"/>
    <w:rsid w:val="00CD3947"/>
    <w:rsid w:val="00CD3D8A"/>
    <w:rsid w:val="00CD41D9"/>
    <w:rsid w:val="00CD48C6"/>
    <w:rsid w:val="00CD5BFC"/>
    <w:rsid w:val="00CE0844"/>
    <w:rsid w:val="00CE0EA4"/>
    <w:rsid w:val="00CE15D3"/>
    <w:rsid w:val="00CE2CFA"/>
    <w:rsid w:val="00CE31BD"/>
    <w:rsid w:val="00CE6199"/>
    <w:rsid w:val="00CE63A8"/>
    <w:rsid w:val="00CF1110"/>
    <w:rsid w:val="00CF1A82"/>
    <w:rsid w:val="00CF2A3B"/>
    <w:rsid w:val="00CF2E8D"/>
    <w:rsid w:val="00CF44B3"/>
    <w:rsid w:val="00CF53BF"/>
    <w:rsid w:val="00D013BB"/>
    <w:rsid w:val="00D014C6"/>
    <w:rsid w:val="00D015A5"/>
    <w:rsid w:val="00D05649"/>
    <w:rsid w:val="00D072B6"/>
    <w:rsid w:val="00D10E23"/>
    <w:rsid w:val="00D13D3B"/>
    <w:rsid w:val="00D1402F"/>
    <w:rsid w:val="00D14E31"/>
    <w:rsid w:val="00D16840"/>
    <w:rsid w:val="00D16A11"/>
    <w:rsid w:val="00D173EB"/>
    <w:rsid w:val="00D21226"/>
    <w:rsid w:val="00D24B28"/>
    <w:rsid w:val="00D2514E"/>
    <w:rsid w:val="00D25260"/>
    <w:rsid w:val="00D259D9"/>
    <w:rsid w:val="00D26A35"/>
    <w:rsid w:val="00D26A5B"/>
    <w:rsid w:val="00D3116C"/>
    <w:rsid w:val="00D31EF3"/>
    <w:rsid w:val="00D34B53"/>
    <w:rsid w:val="00D35358"/>
    <w:rsid w:val="00D44481"/>
    <w:rsid w:val="00D45368"/>
    <w:rsid w:val="00D45403"/>
    <w:rsid w:val="00D45AFB"/>
    <w:rsid w:val="00D46FFD"/>
    <w:rsid w:val="00D47079"/>
    <w:rsid w:val="00D47E0F"/>
    <w:rsid w:val="00D511A3"/>
    <w:rsid w:val="00D5145F"/>
    <w:rsid w:val="00D5171B"/>
    <w:rsid w:val="00D51A0A"/>
    <w:rsid w:val="00D5351A"/>
    <w:rsid w:val="00D5430E"/>
    <w:rsid w:val="00D54FB5"/>
    <w:rsid w:val="00D555C6"/>
    <w:rsid w:val="00D57F92"/>
    <w:rsid w:val="00D57FBE"/>
    <w:rsid w:val="00D601C8"/>
    <w:rsid w:val="00D63858"/>
    <w:rsid w:val="00D66350"/>
    <w:rsid w:val="00D7098D"/>
    <w:rsid w:val="00D71B66"/>
    <w:rsid w:val="00D72508"/>
    <w:rsid w:val="00D72665"/>
    <w:rsid w:val="00D72E83"/>
    <w:rsid w:val="00D74098"/>
    <w:rsid w:val="00D74909"/>
    <w:rsid w:val="00D80B11"/>
    <w:rsid w:val="00D81791"/>
    <w:rsid w:val="00D83184"/>
    <w:rsid w:val="00D865F6"/>
    <w:rsid w:val="00D90BE1"/>
    <w:rsid w:val="00D91683"/>
    <w:rsid w:val="00D919EB"/>
    <w:rsid w:val="00D93CB0"/>
    <w:rsid w:val="00D949BC"/>
    <w:rsid w:val="00D97975"/>
    <w:rsid w:val="00DA1A9B"/>
    <w:rsid w:val="00DA3619"/>
    <w:rsid w:val="00DA4172"/>
    <w:rsid w:val="00DA47F9"/>
    <w:rsid w:val="00DA50A4"/>
    <w:rsid w:val="00DA5663"/>
    <w:rsid w:val="00DA5866"/>
    <w:rsid w:val="00DA5978"/>
    <w:rsid w:val="00DA6C56"/>
    <w:rsid w:val="00DA70B4"/>
    <w:rsid w:val="00DB1574"/>
    <w:rsid w:val="00DB27B7"/>
    <w:rsid w:val="00DB362D"/>
    <w:rsid w:val="00DB37CF"/>
    <w:rsid w:val="00DB3FDA"/>
    <w:rsid w:val="00DB4C3C"/>
    <w:rsid w:val="00DC409E"/>
    <w:rsid w:val="00DC420B"/>
    <w:rsid w:val="00DC43BD"/>
    <w:rsid w:val="00DC5B9E"/>
    <w:rsid w:val="00DC5F50"/>
    <w:rsid w:val="00DC61D6"/>
    <w:rsid w:val="00DC7339"/>
    <w:rsid w:val="00DD09DE"/>
    <w:rsid w:val="00DD0BEB"/>
    <w:rsid w:val="00DD1484"/>
    <w:rsid w:val="00DD4BB2"/>
    <w:rsid w:val="00DD5E6B"/>
    <w:rsid w:val="00DD6C63"/>
    <w:rsid w:val="00DE1A80"/>
    <w:rsid w:val="00DE1F97"/>
    <w:rsid w:val="00DE32F6"/>
    <w:rsid w:val="00DE5F6B"/>
    <w:rsid w:val="00DE6982"/>
    <w:rsid w:val="00E00711"/>
    <w:rsid w:val="00E00A21"/>
    <w:rsid w:val="00E032EA"/>
    <w:rsid w:val="00E06785"/>
    <w:rsid w:val="00E07E12"/>
    <w:rsid w:val="00E11BBE"/>
    <w:rsid w:val="00E12B2F"/>
    <w:rsid w:val="00E12C92"/>
    <w:rsid w:val="00E13CE2"/>
    <w:rsid w:val="00E14232"/>
    <w:rsid w:val="00E142EE"/>
    <w:rsid w:val="00E147AF"/>
    <w:rsid w:val="00E153DD"/>
    <w:rsid w:val="00E16089"/>
    <w:rsid w:val="00E21675"/>
    <w:rsid w:val="00E21B7B"/>
    <w:rsid w:val="00E2246B"/>
    <w:rsid w:val="00E23ADF"/>
    <w:rsid w:val="00E24DE0"/>
    <w:rsid w:val="00E25C87"/>
    <w:rsid w:val="00E25EA5"/>
    <w:rsid w:val="00E260AB"/>
    <w:rsid w:val="00E27420"/>
    <w:rsid w:val="00E349D0"/>
    <w:rsid w:val="00E36C99"/>
    <w:rsid w:val="00E40076"/>
    <w:rsid w:val="00E4132F"/>
    <w:rsid w:val="00E4145A"/>
    <w:rsid w:val="00E416DA"/>
    <w:rsid w:val="00E44BF3"/>
    <w:rsid w:val="00E456B4"/>
    <w:rsid w:val="00E4780D"/>
    <w:rsid w:val="00E517FF"/>
    <w:rsid w:val="00E534B1"/>
    <w:rsid w:val="00E54059"/>
    <w:rsid w:val="00E554E1"/>
    <w:rsid w:val="00E55C9C"/>
    <w:rsid w:val="00E55E5A"/>
    <w:rsid w:val="00E63DC7"/>
    <w:rsid w:val="00E64B26"/>
    <w:rsid w:val="00E665B8"/>
    <w:rsid w:val="00E701FF"/>
    <w:rsid w:val="00E70E5A"/>
    <w:rsid w:val="00E73CF8"/>
    <w:rsid w:val="00E74CDF"/>
    <w:rsid w:val="00E74E73"/>
    <w:rsid w:val="00E74FD2"/>
    <w:rsid w:val="00E74FD3"/>
    <w:rsid w:val="00E76DA5"/>
    <w:rsid w:val="00E81ABC"/>
    <w:rsid w:val="00E86012"/>
    <w:rsid w:val="00E91918"/>
    <w:rsid w:val="00E9375C"/>
    <w:rsid w:val="00E93DB1"/>
    <w:rsid w:val="00E94CA2"/>
    <w:rsid w:val="00E978F1"/>
    <w:rsid w:val="00EA06E6"/>
    <w:rsid w:val="00EA3141"/>
    <w:rsid w:val="00EA72F3"/>
    <w:rsid w:val="00EB0487"/>
    <w:rsid w:val="00EB0ED6"/>
    <w:rsid w:val="00EB2393"/>
    <w:rsid w:val="00EB2495"/>
    <w:rsid w:val="00EB41DF"/>
    <w:rsid w:val="00EB71ED"/>
    <w:rsid w:val="00EB7E40"/>
    <w:rsid w:val="00EC0ED6"/>
    <w:rsid w:val="00EC0F1B"/>
    <w:rsid w:val="00EC2EF7"/>
    <w:rsid w:val="00EC3A46"/>
    <w:rsid w:val="00EC4953"/>
    <w:rsid w:val="00EC4B3A"/>
    <w:rsid w:val="00EC5EC9"/>
    <w:rsid w:val="00EC7741"/>
    <w:rsid w:val="00ED0011"/>
    <w:rsid w:val="00ED26E0"/>
    <w:rsid w:val="00ED7C83"/>
    <w:rsid w:val="00EE3422"/>
    <w:rsid w:val="00EE522C"/>
    <w:rsid w:val="00EF1242"/>
    <w:rsid w:val="00EF3259"/>
    <w:rsid w:val="00EF325D"/>
    <w:rsid w:val="00EF3DE1"/>
    <w:rsid w:val="00EF5A77"/>
    <w:rsid w:val="00EF6C17"/>
    <w:rsid w:val="00EF6D2B"/>
    <w:rsid w:val="00F045D0"/>
    <w:rsid w:val="00F049A6"/>
    <w:rsid w:val="00F0705D"/>
    <w:rsid w:val="00F1155B"/>
    <w:rsid w:val="00F11CC7"/>
    <w:rsid w:val="00F12A80"/>
    <w:rsid w:val="00F138E2"/>
    <w:rsid w:val="00F14C13"/>
    <w:rsid w:val="00F17F26"/>
    <w:rsid w:val="00F23732"/>
    <w:rsid w:val="00F23C61"/>
    <w:rsid w:val="00F23D21"/>
    <w:rsid w:val="00F263E5"/>
    <w:rsid w:val="00F27A38"/>
    <w:rsid w:val="00F34EE1"/>
    <w:rsid w:val="00F36C0D"/>
    <w:rsid w:val="00F40EC2"/>
    <w:rsid w:val="00F41D10"/>
    <w:rsid w:val="00F436F0"/>
    <w:rsid w:val="00F44418"/>
    <w:rsid w:val="00F4537F"/>
    <w:rsid w:val="00F508F2"/>
    <w:rsid w:val="00F510BC"/>
    <w:rsid w:val="00F52FA3"/>
    <w:rsid w:val="00F53944"/>
    <w:rsid w:val="00F54F8D"/>
    <w:rsid w:val="00F56A29"/>
    <w:rsid w:val="00F62839"/>
    <w:rsid w:val="00F65117"/>
    <w:rsid w:val="00F65694"/>
    <w:rsid w:val="00F67410"/>
    <w:rsid w:val="00F67F68"/>
    <w:rsid w:val="00F72E10"/>
    <w:rsid w:val="00F76419"/>
    <w:rsid w:val="00F76F24"/>
    <w:rsid w:val="00F8003D"/>
    <w:rsid w:val="00F82244"/>
    <w:rsid w:val="00F8575E"/>
    <w:rsid w:val="00F87A1A"/>
    <w:rsid w:val="00F91C67"/>
    <w:rsid w:val="00F932CD"/>
    <w:rsid w:val="00F93350"/>
    <w:rsid w:val="00F96701"/>
    <w:rsid w:val="00FA1DF6"/>
    <w:rsid w:val="00FA3153"/>
    <w:rsid w:val="00FA4E6C"/>
    <w:rsid w:val="00FB12D1"/>
    <w:rsid w:val="00FB299E"/>
    <w:rsid w:val="00FB3380"/>
    <w:rsid w:val="00FB39CF"/>
    <w:rsid w:val="00FC29D2"/>
    <w:rsid w:val="00FC2AAF"/>
    <w:rsid w:val="00FC3BE6"/>
    <w:rsid w:val="00FC4D9A"/>
    <w:rsid w:val="00FC5D45"/>
    <w:rsid w:val="00FC7C9B"/>
    <w:rsid w:val="00FD0C4C"/>
    <w:rsid w:val="00FD0F45"/>
    <w:rsid w:val="00FD1F87"/>
    <w:rsid w:val="00FD42B3"/>
    <w:rsid w:val="00FD5A00"/>
    <w:rsid w:val="00FD61F5"/>
    <w:rsid w:val="00FE19B4"/>
    <w:rsid w:val="00FE4AD8"/>
    <w:rsid w:val="00FE630F"/>
    <w:rsid w:val="00FE729A"/>
    <w:rsid w:val="00FE77FA"/>
    <w:rsid w:val="00FF0E8E"/>
    <w:rsid w:val="00FF119D"/>
    <w:rsid w:val="00FF39C5"/>
    <w:rsid w:val="00FF448F"/>
    <w:rsid w:val="00FF5A8A"/>
    <w:rsid w:val="00FF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39D630C1-F28F-4071-AB24-4A9D9DE10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4"/>
      <w:lang w:val="en-US" w:eastAsia="en-US"/>
    </w:rPr>
  </w:style>
  <w:style w:type="paragraph" w:styleId="Heading1">
    <w:name w:val="heading 1"/>
    <w:basedOn w:val="Normal"/>
    <w:next w:val="Normal"/>
    <w:qFormat/>
    <w:pPr>
      <w:keepNext/>
      <w:jc w:val="center"/>
      <w:outlineLvl w:val="0"/>
    </w:pPr>
    <w:rPr>
      <w:rFonts w:ascii="VNI-Times" w:hAnsi="VNI-Times"/>
      <w:b/>
      <w:sz w:val="26"/>
      <w:szCs w:val="20"/>
    </w:rPr>
  </w:style>
  <w:style w:type="paragraph" w:styleId="Heading2">
    <w:name w:val="heading 2"/>
    <w:basedOn w:val="Normal"/>
    <w:next w:val="Normal"/>
    <w:qFormat/>
    <w:pPr>
      <w:keepNext/>
      <w:jc w:val="center"/>
      <w:outlineLvl w:val="1"/>
    </w:pPr>
    <w:rPr>
      <w:rFonts w:ascii="VNI-Times" w:hAnsi="VNI-Times"/>
      <w:i/>
      <w:sz w:val="26"/>
      <w:szCs w:val="20"/>
    </w:rPr>
  </w:style>
  <w:style w:type="paragraph" w:styleId="Heading3">
    <w:name w:val="heading 3"/>
    <w:basedOn w:val="Normal"/>
    <w:next w:val="Normal"/>
    <w:qFormat/>
    <w:pPr>
      <w:keepNext/>
      <w:jc w:val="center"/>
      <w:outlineLvl w:val="2"/>
    </w:pPr>
    <w:rPr>
      <w:b/>
      <w:bCs/>
    </w:rPr>
  </w:style>
  <w:style w:type="paragraph" w:styleId="Heading5">
    <w:name w:val="heading 5"/>
    <w:basedOn w:val="Normal"/>
    <w:next w:val="Normal"/>
    <w:qFormat/>
    <w:rsid w:val="00C13670"/>
    <w:pPr>
      <w:keepNext/>
      <w:jc w:val="center"/>
      <w:outlineLvl w:val="4"/>
    </w:pPr>
    <w:rPr>
      <w:b/>
      <w:szCs w:val="20"/>
    </w:rPr>
  </w:style>
  <w:style w:type="paragraph" w:styleId="Heading9">
    <w:name w:val="heading 9"/>
    <w:basedOn w:val="Normal"/>
    <w:next w:val="Normal"/>
    <w:link w:val="Heading9Char"/>
    <w:qFormat/>
    <w:rsid w:val="00827864"/>
    <w:pPr>
      <w:keepNext/>
      <w:spacing w:before="240" w:line="360" w:lineRule="exact"/>
      <w:ind w:hanging="193"/>
      <w:jc w:val="center"/>
      <w:outlineLvl w:val="8"/>
    </w:pPr>
    <w:rPr>
      <w:rFonts w:ascii=".VnTime" w:hAnsi=".VnTime"/>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120"/>
      <w:jc w:val="both"/>
    </w:p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pPr>
      <w:ind w:firstLine="720"/>
      <w:jc w:val="both"/>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ind w:firstLine="709"/>
      <w:jc w:val="both"/>
    </w:pPr>
    <w:rPr>
      <w:rFonts w:ascii="VNI-Times" w:hAnsi="VNI-Times"/>
      <w:b/>
      <w:szCs w:val="20"/>
      <w:u w:val="single"/>
    </w:rPr>
  </w:style>
  <w:style w:type="paragraph" w:styleId="Header">
    <w:name w:val="header"/>
    <w:basedOn w:val="Normal"/>
    <w:rsid w:val="00AA043B"/>
    <w:pPr>
      <w:tabs>
        <w:tab w:val="center" w:pos="4320"/>
        <w:tab w:val="right" w:pos="8640"/>
      </w:tabs>
    </w:pPr>
  </w:style>
  <w:style w:type="paragraph" w:styleId="BalloonText">
    <w:name w:val="Balloon Text"/>
    <w:basedOn w:val="Normal"/>
    <w:semiHidden/>
    <w:rsid w:val="002635DA"/>
    <w:rPr>
      <w:rFonts w:ascii="Tahoma" w:hAnsi="Tahoma" w:cs="Tahoma"/>
      <w:sz w:val="16"/>
      <w:szCs w:val="16"/>
    </w:rPr>
  </w:style>
  <w:style w:type="paragraph" w:customStyle="1" w:styleId="DefaultParagraphFontParaCharCharCharCharChar">
    <w:name w:val="Default Paragraph Font Para Char Char Char Char Char"/>
    <w:autoRedefine/>
    <w:rsid w:val="00B80ACF"/>
    <w:pPr>
      <w:tabs>
        <w:tab w:val="left" w:pos="1152"/>
      </w:tabs>
      <w:spacing w:before="120" w:after="120" w:line="312" w:lineRule="auto"/>
    </w:pPr>
    <w:rPr>
      <w:rFonts w:ascii="Arial" w:hAnsi="Arial" w:cs="Arial"/>
      <w:sz w:val="26"/>
      <w:szCs w:val="26"/>
      <w:lang w:val="en-US" w:eastAsia="en-US"/>
    </w:rPr>
  </w:style>
  <w:style w:type="paragraph" w:styleId="BodyTextIndent3">
    <w:name w:val="Body Text Indent 3"/>
    <w:basedOn w:val="Normal"/>
    <w:rsid w:val="00AE39C0"/>
    <w:pPr>
      <w:spacing w:before="120"/>
      <w:ind w:firstLine="851"/>
      <w:jc w:val="both"/>
    </w:pPr>
    <w:rPr>
      <w:color w:val="FF0000"/>
      <w:szCs w:val="20"/>
    </w:rPr>
  </w:style>
  <w:style w:type="paragraph" w:customStyle="1" w:styleId="Char">
    <w:name w:val="Char"/>
    <w:basedOn w:val="Normal"/>
    <w:rsid w:val="00DB27B7"/>
    <w:pPr>
      <w:spacing w:after="160" w:line="240" w:lineRule="exact"/>
    </w:pPr>
    <w:rPr>
      <w:rFonts w:ascii="Verdana" w:hAnsi="Verdana"/>
      <w:sz w:val="20"/>
      <w:szCs w:val="20"/>
    </w:rPr>
  </w:style>
  <w:style w:type="paragraph" w:styleId="NormalWeb">
    <w:name w:val="Normal (Web)"/>
    <w:basedOn w:val="Normal"/>
    <w:rsid w:val="00886DCA"/>
    <w:pPr>
      <w:spacing w:before="100" w:beforeAutospacing="1" w:after="115"/>
    </w:pPr>
    <w:rPr>
      <w:sz w:val="24"/>
    </w:rPr>
  </w:style>
  <w:style w:type="paragraph" w:customStyle="1" w:styleId="CharChar1CharCharCharCharCharCharCharChar">
    <w:name w:val="Char Char1 Char Char Char Char Char Char Char Char"/>
    <w:basedOn w:val="Normal"/>
    <w:semiHidden/>
    <w:rsid w:val="000A3124"/>
    <w:pPr>
      <w:spacing w:after="160" w:line="240" w:lineRule="exact"/>
    </w:pPr>
    <w:rPr>
      <w:rFonts w:ascii="Arial" w:hAnsi="Arial"/>
      <w:sz w:val="22"/>
      <w:szCs w:val="22"/>
    </w:rPr>
  </w:style>
  <w:style w:type="paragraph" w:styleId="BodyText2">
    <w:name w:val="Body Text 2"/>
    <w:basedOn w:val="Normal"/>
    <w:rsid w:val="007B7C2D"/>
    <w:pPr>
      <w:jc w:val="both"/>
    </w:pPr>
    <w:rPr>
      <w:rFonts w:ascii="VNI-Times" w:hAnsi="VNI-Times"/>
      <w:b/>
      <w:bCs/>
      <w:sz w:val="26"/>
      <w:szCs w:val="26"/>
    </w:rPr>
  </w:style>
  <w:style w:type="character" w:customStyle="1" w:styleId="Heading9Char">
    <w:name w:val="Heading 9 Char"/>
    <w:link w:val="Heading9"/>
    <w:rsid w:val="00827864"/>
    <w:rPr>
      <w:rFonts w:ascii=".VnTime" w:hAnsi=".VnTime"/>
      <w:b/>
      <w:bCs/>
      <w:sz w:val="28"/>
      <w:szCs w:val="24"/>
      <w:lang w:val="en-US" w:eastAsia="en-US" w:bidi="ar-SA"/>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link w:val="BodyTextIndent"/>
    <w:rsid w:val="005C0A50"/>
    <w:rPr>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huvienphapluat.vn/phap-luat/tim-van-ban.aspx?keyword=16/N%C4%90-CP&amp;area=2&amp;type=0&amp;match=False&amp;vc=True&amp;lan=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phap-luat/tim-van-ban.aspx?keyword=579/Q%C4%90-TTg;&amp;area=2&amp;type=0&amp;match=False&amp;vc=True&amp;lan=1"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2334</Words>
  <Characters>13307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Ủy ban Nhân dân tỉnh Đồng Tháp SỞ TÀI CHÍNH</vt:lpstr>
    </vt:vector>
  </TitlesOfParts>
  <Company>Cong Ty TraSeNet</Company>
  <LinksUpToDate>false</LinksUpToDate>
  <CharactersWithSpaces>15610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Đồng Tháp SỞ TÀI CHÍNH</dc:title>
  <dc:subject/>
  <dc:creator>stcdongthap</dc:creator>
  <cp:keywords/>
  <dc:description/>
  <cp:lastModifiedBy>quangbxdth</cp:lastModifiedBy>
  <cp:revision>2</cp:revision>
  <cp:lastPrinted>2013-11-15T03:20:00Z</cp:lastPrinted>
  <dcterms:created xsi:type="dcterms:W3CDTF">2019-10-23T02:50:00Z</dcterms:created>
  <dcterms:modified xsi:type="dcterms:W3CDTF">2019-10-23T02:50:00Z</dcterms:modified>
</cp:coreProperties>
</file>